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9C6" w:rsidRPr="00A759C6" w:rsidRDefault="00A759C6" w:rsidP="00A759C6">
      <w:pPr>
        <w:spacing w:after="0" w:line="240" w:lineRule="auto"/>
        <w:jc w:val="center"/>
        <w:rPr>
          <w:b/>
          <w:sz w:val="28"/>
          <w:szCs w:val="28"/>
        </w:rPr>
      </w:pPr>
      <w:bookmarkStart w:id="0" w:name="_GoBack"/>
      <w:bookmarkEnd w:id="0"/>
      <w:r w:rsidRPr="00A759C6">
        <w:rPr>
          <w:b/>
          <w:sz w:val="28"/>
          <w:szCs w:val="28"/>
        </w:rPr>
        <w:t>TESDA MIMAROPA</w:t>
      </w:r>
    </w:p>
    <w:p w:rsidR="0002389F" w:rsidRPr="00A759C6" w:rsidRDefault="0002389F" w:rsidP="00C21320">
      <w:pPr>
        <w:spacing w:after="0" w:line="240" w:lineRule="auto"/>
        <w:jc w:val="center"/>
        <w:rPr>
          <w:b/>
          <w:sz w:val="24"/>
          <w:szCs w:val="24"/>
        </w:rPr>
      </w:pPr>
    </w:p>
    <w:p w:rsidR="00756786" w:rsidRDefault="00756786" w:rsidP="00C21320">
      <w:pPr>
        <w:spacing w:after="0" w:line="240" w:lineRule="auto"/>
        <w:jc w:val="center"/>
        <w:rPr>
          <w:b/>
          <w:sz w:val="24"/>
          <w:szCs w:val="24"/>
        </w:rPr>
      </w:pPr>
      <w:r w:rsidRPr="00A759C6">
        <w:rPr>
          <w:b/>
          <w:sz w:val="24"/>
          <w:szCs w:val="24"/>
        </w:rPr>
        <w:t>TVET SITUATIONER</w:t>
      </w:r>
      <w:r w:rsidR="00A759C6">
        <w:rPr>
          <w:b/>
          <w:sz w:val="24"/>
          <w:szCs w:val="24"/>
        </w:rPr>
        <w:t xml:space="preserve"> REPORT</w:t>
      </w:r>
    </w:p>
    <w:p w:rsidR="00A759C6" w:rsidRDefault="00A759C6" w:rsidP="00C21320">
      <w:pPr>
        <w:spacing w:after="0" w:line="240" w:lineRule="auto"/>
        <w:jc w:val="center"/>
        <w:rPr>
          <w:b/>
          <w:sz w:val="24"/>
          <w:szCs w:val="24"/>
        </w:rPr>
      </w:pPr>
      <w:r>
        <w:rPr>
          <w:b/>
          <w:sz w:val="24"/>
          <w:szCs w:val="24"/>
        </w:rPr>
        <w:t>(CY 2015-2016 and First Semester 2017)</w:t>
      </w:r>
    </w:p>
    <w:p w:rsidR="00A759C6" w:rsidRDefault="00A759C6" w:rsidP="00C21320">
      <w:pPr>
        <w:spacing w:after="0" w:line="240" w:lineRule="auto"/>
        <w:jc w:val="center"/>
        <w:rPr>
          <w:b/>
          <w:sz w:val="24"/>
          <w:szCs w:val="24"/>
        </w:rPr>
      </w:pPr>
    </w:p>
    <w:p w:rsidR="00756786" w:rsidRPr="00DF3598" w:rsidRDefault="00756786" w:rsidP="004834E6">
      <w:pPr>
        <w:spacing w:after="0" w:line="240" w:lineRule="auto"/>
        <w:jc w:val="both"/>
        <w:rPr>
          <w:b/>
          <w:sz w:val="24"/>
          <w:szCs w:val="24"/>
        </w:rPr>
      </w:pPr>
      <w:r w:rsidRPr="00DF3598">
        <w:rPr>
          <w:b/>
          <w:sz w:val="24"/>
          <w:szCs w:val="24"/>
        </w:rPr>
        <w:t>Executive Summary</w:t>
      </w:r>
    </w:p>
    <w:p w:rsidR="00A26CF9" w:rsidRPr="00DF3598" w:rsidRDefault="00C21320" w:rsidP="00C21320">
      <w:pPr>
        <w:tabs>
          <w:tab w:val="left" w:pos="1005"/>
        </w:tabs>
        <w:spacing w:after="0" w:line="240" w:lineRule="auto"/>
        <w:jc w:val="both"/>
        <w:rPr>
          <w:sz w:val="24"/>
          <w:szCs w:val="24"/>
        </w:rPr>
      </w:pPr>
      <w:r w:rsidRPr="00DF3598">
        <w:rPr>
          <w:sz w:val="24"/>
          <w:szCs w:val="24"/>
        </w:rPr>
        <w:tab/>
      </w:r>
    </w:p>
    <w:p w:rsidR="00A26CF9" w:rsidRPr="00DF3598" w:rsidRDefault="00A26CF9" w:rsidP="00A26CF9">
      <w:pPr>
        <w:pStyle w:val="NoSpacing"/>
        <w:ind w:firstLine="720"/>
        <w:jc w:val="both"/>
        <w:rPr>
          <w:rFonts w:cs="Arial"/>
          <w:sz w:val="24"/>
          <w:szCs w:val="24"/>
        </w:rPr>
      </w:pPr>
      <w:r w:rsidRPr="00DF3598">
        <w:rPr>
          <w:rFonts w:cs="Arial"/>
          <w:sz w:val="24"/>
          <w:szCs w:val="24"/>
        </w:rPr>
        <w:t>The TVET Situationer Report covers information on TVET provision including TVET providers, program offerings, demand and supply of TVET, stakeholders among others.  The scope of the data includes CY 2015 up to 1</w:t>
      </w:r>
      <w:r w:rsidRPr="00DF3598">
        <w:rPr>
          <w:rFonts w:cs="Arial"/>
          <w:sz w:val="24"/>
          <w:szCs w:val="24"/>
          <w:vertAlign w:val="superscript"/>
        </w:rPr>
        <w:t>st</w:t>
      </w:r>
      <w:r w:rsidRPr="00DF3598">
        <w:rPr>
          <w:rFonts w:cs="Arial"/>
          <w:sz w:val="24"/>
          <w:szCs w:val="24"/>
        </w:rPr>
        <w:t xml:space="preserve"> semester of 2017.</w:t>
      </w:r>
    </w:p>
    <w:p w:rsidR="00A26CF9" w:rsidRPr="00DF3598" w:rsidRDefault="00A26CF9" w:rsidP="00A26CF9">
      <w:pPr>
        <w:spacing w:after="0" w:line="240" w:lineRule="auto"/>
        <w:jc w:val="both"/>
        <w:rPr>
          <w:rFonts w:cs="Arial"/>
          <w:sz w:val="24"/>
          <w:szCs w:val="24"/>
        </w:rPr>
      </w:pPr>
    </w:p>
    <w:p w:rsidR="003823CE" w:rsidRPr="00DF3598" w:rsidRDefault="003823CE" w:rsidP="004834E6">
      <w:pPr>
        <w:spacing w:after="120" w:line="240" w:lineRule="auto"/>
        <w:ind w:firstLine="720"/>
        <w:jc w:val="both"/>
        <w:rPr>
          <w:rFonts w:cs="Arial"/>
          <w:sz w:val="24"/>
          <w:szCs w:val="24"/>
        </w:rPr>
      </w:pPr>
      <w:r w:rsidRPr="00DF3598">
        <w:rPr>
          <w:rFonts w:cs="Arial"/>
          <w:sz w:val="24"/>
          <w:szCs w:val="24"/>
        </w:rPr>
        <w:t>The change in leadership at the national level signaled a new planning cycle for all government institutions to support the socio-economic and political agenda of President Rodrigo R. Duterte. The prime objective of the Philippine Development Plan 2017 – 2022 (PDP) is to lay down the foundation for the enhancement of the social fabric, reduction of poverty and inclusive growth towards the development of a resilient society and globally competitive local economy.</w:t>
      </w:r>
    </w:p>
    <w:p w:rsidR="003823CE" w:rsidRPr="00DF3598" w:rsidRDefault="00C21320" w:rsidP="004834E6">
      <w:pPr>
        <w:spacing w:after="0" w:line="240" w:lineRule="auto"/>
        <w:jc w:val="both"/>
        <w:rPr>
          <w:sz w:val="24"/>
          <w:szCs w:val="24"/>
        </w:rPr>
      </w:pPr>
      <w:r w:rsidRPr="00DF3598">
        <w:rPr>
          <w:sz w:val="24"/>
          <w:szCs w:val="24"/>
        </w:rPr>
        <w:tab/>
        <w:t xml:space="preserve">The </w:t>
      </w:r>
      <w:r w:rsidR="009E7C33" w:rsidRPr="00DF3598">
        <w:rPr>
          <w:sz w:val="24"/>
          <w:szCs w:val="24"/>
        </w:rPr>
        <w:t xml:space="preserve">accomplishment of </w:t>
      </w:r>
      <w:r w:rsidRPr="00DF3598">
        <w:rPr>
          <w:sz w:val="24"/>
          <w:szCs w:val="24"/>
        </w:rPr>
        <w:t xml:space="preserve">the region in 2015 and 2016 showed a very satisfactory </w:t>
      </w:r>
      <w:r w:rsidR="009E7C33" w:rsidRPr="00DF3598">
        <w:rPr>
          <w:sz w:val="24"/>
          <w:szCs w:val="24"/>
        </w:rPr>
        <w:t xml:space="preserve">performance.  Nevertheless the </w:t>
      </w:r>
      <w:r w:rsidRPr="00DF3598">
        <w:rPr>
          <w:sz w:val="24"/>
          <w:szCs w:val="24"/>
        </w:rPr>
        <w:t xml:space="preserve">first semester of 2017 </w:t>
      </w:r>
      <w:r w:rsidR="009E7C33" w:rsidRPr="00DF3598">
        <w:rPr>
          <w:sz w:val="24"/>
          <w:szCs w:val="24"/>
        </w:rPr>
        <w:t xml:space="preserve">showed remarkable achievement specifically in enrolled and graduates data with 52% each followed by employed data with 50%.  </w:t>
      </w:r>
    </w:p>
    <w:p w:rsidR="00756786" w:rsidRPr="00DF3598" w:rsidRDefault="00756786" w:rsidP="004834E6">
      <w:pPr>
        <w:spacing w:after="0" w:line="240" w:lineRule="auto"/>
        <w:jc w:val="both"/>
        <w:rPr>
          <w:sz w:val="24"/>
          <w:szCs w:val="24"/>
        </w:rPr>
      </w:pPr>
    </w:p>
    <w:p w:rsidR="009E7C33" w:rsidRPr="00DF3598" w:rsidRDefault="009E7C33" w:rsidP="004834E6">
      <w:pPr>
        <w:spacing w:after="0" w:line="240" w:lineRule="auto"/>
        <w:jc w:val="both"/>
        <w:rPr>
          <w:sz w:val="24"/>
          <w:szCs w:val="24"/>
        </w:rPr>
      </w:pPr>
      <w:r w:rsidRPr="00DF3598">
        <w:rPr>
          <w:sz w:val="24"/>
          <w:szCs w:val="24"/>
        </w:rPr>
        <w:tab/>
        <w:t xml:space="preserve">All of the municipalities of the region were provided with programs and services that their clientele needs.  </w:t>
      </w:r>
    </w:p>
    <w:p w:rsidR="009E7C33" w:rsidRPr="00DF3598" w:rsidRDefault="009E7C33" w:rsidP="004834E6">
      <w:pPr>
        <w:spacing w:after="0" w:line="240" w:lineRule="auto"/>
        <w:jc w:val="both"/>
        <w:rPr>
          <w:sz w:val="24"/>
          <w:szCs w:val="24"/>
        </w:rPr>
      </w:pPr>
    </w:p>
    <w:p w:rsidR="00756786" w:rsidRPr="00DF3598" w:rsidRDefault="00756786" w:rsidP="004834E6">
      <w:pPr>
        <w:spacing w:after="0" w:line="240" w:lineRule="auto"/>
        <w:jc w:val="both"/>
        <w:rPr>
          <w:b/>
          <w:sz w:val="24"/>
          <w:szCs w:val="24"/>
        </w:rPr>
      </w:pPr>
      <w:r w:rsidRPr="00DF3598">
        <w:rPr>
          <w:b/>
          <w:sz w:val="24"/>
          <w:szCs w:val="24"/>
        </w:rPr>
        <w:t>Introduction</w:t>
      </w:r>
    </w:p>
    <w:p w:rsidR="00756786" w:rsidRPr="00DF3598" w:rsidRDefault="00756786" w:rsidP="004834E6">
      <w:pPr>
        <w:spacing w:after="0" w:line="240" w:lineRule="auto"/>
        <w:jc w:val="both"/>
        <w:rPr>
          <w:sz w:val="24"/>
          <w:szCs w:val="24"/>
        </w:rPr>
      </w:pPr>
    </w:p>
    <w:p w:rsidR="003823CE" w:rsidRPr="00DF3598" w:rsidRDefault="003823CE" w:rsidP="004834E6">
      <w:pPr>
        <w:spacing w:after="0" w:line="240" w:lineRule="auto"/>
        <w:ind w:right="29" w:firstLine="720"/>
        <w:jc w:val="both"/>
        <w:rPr>
          <w:sz w:val="24"/>
          <w:szCs w:val="24"/>
        </w:rPr>
      </w:pPr>
      <w:r w:rsidRPr="00DF3598">
        <w:rPr>
          <w:sz w:val="24"/>
          <w:szCs w:val="24"/>
        </w:rPr>
        <w:t>Th</w:t>
      </w:r>
      <w:r w:rsidR="004F3481" w:rsidRPr="00DF3598">
        <w:rPr>
          <w:sz w:val="24"/>
          <w:szCs w:val="24"/>
        </w:rPr>
        <w:t>e TVET Situationer Report contains relevant information about the TVET environment which includes discussion on the profile of the region, its geographic factors, political, economic and skills priorities.  It also provides information on the TVET provision, TVET performance and TVET stakeholders.</w:t>
      </w:r>
    </w:p>
    <w:p w:rsidR="003823CE" w:rsidRPr="00DF3598" w:rsidRDefault="003823CE" w:rsidP="004834E6">
      <w:pPr>
        <w:spacing w:after="0" w:line="240" w:lineRule="auto"/>
        <w:ind w:left="720" w:right="720"/>
        <w:jc w:val="both"/>
        <w:rPr>
          <w:sz w:val="24"/>
          <w:szCs w:val="24"/>
        </w:rPr>
      </w:pPr>
    </w:p>
    <w:p w:rsidR="003823CE" w:rsidRPr="00DF3598" w:rsidRDefault="004F3481" w:rsidP="004834E6">
      <w:pPr>
        <w:spacing w:after="0" w:line="240" w:lineRule="auto"/>
        <w:ind w:right="29" w:firstLine="720"/>
        <w:jc w:val="both"/>
        <w:rPr>
          <w:sz w:val="24"/>
          <w:szCs w:val="24"/>
        </w:rPr>
      </w:pPr>
      <w:r w:rsidRPr="00DF3598">
        <w:rPr>
          <w:sz w:val="24"/>
          <w:szCs w:val="24"/>
        </w:rPr>
        <w:t xml:space="preserve">The report also informs </w:t>
      </w:r>
      <w:r w:rsidR="003823CE" w:rsidRPr="00DF3598">
        <w:rPr>
          <w:sz w:val="24"/>
          <w:szCs w:val="24"/>
        </w:rPr>
        <w:t>what and how TVET performed vis-a-vis its mandates in recent years</w:t>
      </w:r>
      <w:r w:rsidRPr="00DF3598">
        <w:rPr>
          <w:sz w:val="24"/>
          <w:szCs w:val="24"/>
        </w:rPr>
        <w:t xml:space="preserve"> (2015, 2016 and first semester of 2017)</w:t>
      </w:r>
      <w:r w:rsidR="003823CE" w:rsidRPr="00DF3598">
        <w:rPr>
          <w:sz w:val="24"/>
          <w:szCs w:val="24"/>
        </w:rPr>
        <w:t xml:space="preserve">. Most importantly, the </w:t>
      </w:r>
      <w:r w:rsidRPr="00DF3598">
        <w:rPr>
          <w:sz w:val="24"/>
          <w:szCs w:val="24"/>
        </w:rPr>
        <w:t xml:space="preserve">Report provided information on how far TESDA MIMAROPA has achieved its targets for the past two and half years in </w:t>
      </w:r>
      <w:r w:rsidR="003823CE" w:rsidRPr="00DF3598">
        <w:rPr>
          <w:sz w:val="24"/>
          <w:szCs w:val="24"/>
        </w:rPr>
        <w:t>its pursuit for an effective and efficient delivery of its programs and services.</w:t>
      </w:r>
    </w:p>
    <w:p w:rsidR="003823CE" w:rsidRPr="00DF3598" w:rsidRDefault="003823CE" w:rsidP="004834E6">
      <w:pPr>
        <w:spacing w:after="0" w:line="240" w:lineRule="auto"/>
        <w:ind w:left="720" w:right="720"/>
        <w:jc w:val="both"/>
        <w:rPr>
          <w:sz w:val="24"/>
          <w:szCs w:val="24"/>
        </w:rPr>
      </w:pPr>
    </w:p>
    <w:p w:rsidR="00E017E8" w:rsidRPr="00E017E8" w:rsidRDefault="004F3481" w:rsidP="00E017E8">
      <w:pPr>
        <w:pStyle w:val="NoSpacing"/>
        <w:ind w:firstLine="720"/>
        <w:jc w:val="both"/>
        <w:rPr>
          <w:rFonts w:cs="Arial"/>
        </w:rPr>
      </w:pPr>
      <w:r w:rsidRPr="00DF3598">
        <w:rPr>
          <w:rFonts w:cs="Arial"/>
          <w:sz w:val="24"/>
          <w:szCs w:val="24"/>
        </w:rPr>
        <w:t xml:space="preserve">With the new leadership, TESDA MIMAROPA will continue </w:t>
      </w:r>
      <w:r w:rsidR="00DF3598" w:rsidRPr="00DF3598">
        <w:rPr>
          <w:rFonts w:cs="Arial"/>
          <w:sz w:val="24"/>
          <w:szCs w:val="24"/>
        </w:rPr>
        <w:t xml:space="preserve">to strive for excellence and remarkable performance in the coming years which has already started in 2017. </w:t>
      </w:r>
      <w:r w:rsidRPr="00DF3598">
        <w:rPr>
          <w:rFonts w:cs="Arial"/>
          <w:sz w:val="24"/>
          <w:szCs w:val="24"/>
        </w:rPr>
        <w:t xml:space="preserve"> </w:t>
      </w:r>
      <w:r w:rsidR="00E017E8" w:rsidRPr="00E017E8">
        <w:rPr>
          <w:rFonts w:cs="Arial"/>
        </w:rPr>
        <w:t xml:space="preserve">The regional leadership of TESDA MIMAROPA recognizes that every aspect of customer interaction provides an opportunity to create more value for the customer.  It also puts premium on delivering quality products and services in consonance with the government’s thrust on timely delivery of government services closer to the people. There is a felt-need to underscore and understand the current, emerging and future needs of our stakeholders and customers alike and the passion for innovation for improved process performance that would spell out the sustained success of an improving organization. Meeting the customer </w:t>
      </w:r>
      <w:r w:rsidR="00E017E8" w:rsidRPr="00E017E8">
        <w:rPr>
          <w:rFonts w:cs="Arial"/>
        </w:rPr>
        <w:lastRenderedPageBreak/>
        <w:t>requirements and even strive to exceed customer expectations, both internal and external seems to be inevitable.</w:t>
      </w:r>
    </w:p>
    <w:p w:rsidR="004F3481" w:rsidRPr="00DF3598" w:rsidRDefault="004F3481" w:rsidP="004834E6">
      <w:pPr>
        <w:pStyle w:val="NoSpacing"/>
        <w:ind w:firstLine="720"/>
        <w:jc w:val="both"/>
        <w:rPr>
          <w:rFonts w:cs="Arial"/>
          <w:sz w:val="24"/>
          <w:szCs w:val="24"/>
        </w:rPr>
      </w:pPr>
    </w:p>
    <w:p w:rsidR="002C17B2" w:rsidRPr="00DF3598" w:rsidRDefault="002C17B2" w:rsidP="004834E6">
      <w:pPr>
        <w:pStyle w:val="NoSpacing"/>
        <w:ind w:firstLine="720"/>
        <w:jc w:val="both"/>
        <w:rPr>
          <w:rFonts w:cs="Arial"/>
          <w:sz w:val="24"/>
          <w:szCs w:val="24"/>
        </w:rPr>
      </w:pPr>
      <w:r w:rsidRPr="00DF3598">
        <w:rPr>
          <w:rFonts w:cs="Arial"/>
          <w:sz w:val="24"/>
          <w:szCs w:val="24"/>
        </w:rPr>
        <w:t xml:space="preserve">TESDA has been created to manage and oversee the technical –vocational education sector in the country. It is mandated to provide </w:t>
      </w:r>
      <w:r w:rsidRPr="00E017E8">
        <w:rPr>
          <w:rFonts w:cs="Arial"/>
          <w:sz w:val="24"/>
          <w:szCs w:val="24"/>
        </w:rPr>
        <w:t>“relevant, accessible, high quality and efficient technical education and skills development in support of producing high quality middle-level manpower responsive to and in accordance with the national development goals and objectives.” It shall also encourage the parti</w:t>
      </w:r>
      <w:r w:rsidRPr="00DF3598">
        <w:rPr>
          <w:rFonts w:cs="Arial"/>
          <w:sz w:val="24"/>
          <w:szCs w:val="24"/>
        </w:rPr>
        <w:t>cipation of the private sector, specifically the industry, as the direct end-user of all trained workforce. The following objectives are indicative of its mandate:</w:t>
      </w:r>
    </w:p>
    <w:p w:rsidR="002C17B2" w:rsidRPr="00DF3598" w:rsidRDefault="002C17B2" w:rsidP="004834E6">
      <w:pPr>
        <w:pStyle w:val="NoSpacing"/>
        <w:jc w:val="both"/>
        <w:rPr>
          <w:rFonts w:cs="Arial"/>
          <w:sz w:val="24"/>
          <w:szCs w:val="24"/>
        </w:rPr>
      </w:pPr>
    </w:p>
    <w:p w:rsidR="002C17B2" w:rsidRPr="00DF3598" w:rsidRDefault="002C17B2" w:rsidP="00DF3598">
      <w:pPr>
        <w:pStyle w:val="NoSpacing"/>
        <w:numPr>
          <w:ilvl w:val="0"/>
          <w:numId w:val="1"/>
        </w:numPr>
        <w:ind w:left="1080"/>
        <w:jc w:val="both"/>
        <w:rPr>
          <w:rFonts w:cs="Arial"/>
          <w:sz w:val="24"/>
          <w:szCs w:val="24"/>
        </w:rPr>
      </w:pPr>
      <w:r w:rsidRPr="00DF3598">
        <w:rPr>
          <w:rFonts w:cs="Arial"/>
          <w:sz w:val="24"/>
          <w:szCs w:val="24"/>
        </w:rPr>
        <w:t>Promote and strengthen the quality of technical education and skills development (TESD) programs to attain international competitiveness;</w:t>
      </w:r>
    </w:p>
    <w:p w:rsidR="002C17B2" w:rsidRPr="00DF3598" w:rsidRDefault="002C17B2" w:rsidP="00DF3598">
      <w:pPr>
        <w:pStyle w:val="NoSpacing"/>
        <w:numPr>
          <w:ilvl w:val="0"/>
          <w:numId w:val="1"/>
        </w:numPr>
        <w:ind w:left="1080"/>
        <w:jc w:val="both"/>
        <w:rPr>
          <w:rFonts w:cs="Arial"/>
          <w:sz w:val="24"/>
          <w:szCs w:val="24"/>
        </w:rPr>
      </w:pPr>
      <w:r w:rsidRPr="00DF3598">
        <w:rPr>
          <w:rFonts w:cs="Arial"/>
          <w:sz w:val="24"/>
          <w:szCs w:val="24"/>
        </w:rPr>
        <w:t>Focus TESD on meeting the changing demands for quality manpower;</w:t>
      </w:r>
    </w:p>
    <w:p w:rsidR="002C17B2" w:rsidRPr="00DF3598" w:rsidRDefault="002C17B2" w:rsidP="00DF3598">
      <w:pPr>
        <w:pStyle w:val="NoSpacing"/>
        <w:numPr>
          <w:ilvl w:val="0"/>
          <w:numId w:val="1"/>
        </w:numPr>
        <w:ind w:left="1080"/>
        <w:jc w:val="both"/>
        <w:rPr>
          <w:rFonts w:cs="Arial"/>
          <w:sz w:val="24"/>
          <w:szCs w:val="24"/>
        </w:rPr>
      </w:pPr>
      <w:r w:rsidRPr="00DF3598">
        <w:rPr>
          <w:rFonts w:cs="Arial"/>
          <w:sz w:val="24"/>
          <w:szCs w:val="24"/>
        </w:rPr>
        <w:t>Encourage critical and creative thinking by disseminating scientific and technical knowledge base of the middle level manpower development programs;</w:t>
      </w:r>
    </w:p>
    <w:p w:rsidR="002C17B2" w:rsidRPr="00DF3598" w:rsidRDefault="002C17B2" w:rsidP="00DF3598">
      <w:pPr>
        <w:pStyle w:val="NoSpacing"/>
        <w:numPr>
          <w:ilvl w:val="0"/>
          <w:numId w:val="1"/>
        </w:numPr>
        <w:ind w:left="1080"/>
        <w:jc w:val="both"/>
        <w:rPr>
          <w:rFonts w:cs="Arial"/>
          <w:sz w:val="24"/>
          <w:szCs w:val="24"/>
        </w:rPr>
      </w:pPr>
      <w:r w:rsidRPr="00DF3598">
        <w:rPr>
          <w:rFonts w:cs="Arial"/>
          <w:sz w:val="24"/>
          <w:szCs w:val="24"/>
        </w:rPr>
        <w:t>Recognize and encourage the complementing roles of public and private institutions in TESD and training systems; and</w:t>
      </w:r>
    </w:p>
    <w:p w:rsidR="002C17B2" w:rsidRPr="00DF3598" w:rsidRDefault="002C17B2" w:rsidP="00DF3598">
      <w:pPr>
        <w:pStyle w:val="NoSpacing"/>
        <w:numPr>
          <w:ilvl w:val="0"/>
          <w:numId w:val="1"/>
        </w:numPr>
        <w:ind w:left="1080"/>
        <w:jc w:val="both"/>
        <w:rPr>
          <w:rFonts w:cs="Arial"/>
          <w:sz w:val="24"/>
          <w:szCs w:val="24"/>
        </w:rPr>
      </w:pPr>
      <w:r w:rsidRPr="00DF3598">
        <w:rPr>
          <w:rFonts w:cs="Arial"/>
          <w:sz w:val="24"/>
          <w:szCs w:val="24"/>
        </w:rPr>
        <w:t>Inculcate desirable values through the development of moral character with emphasis on work ethics, self</w:t>
      </w:r>
      <w:r w:rsidR="00DF3598" w:rsidRPr="00DF3598">
        <w:rPr>
          <w:rFonts w:cs="Arial"/>
          <w:sz w:val="24"/>
          <w:szCs w:val="24"/>
        </w:rPr>
        <w:t>-</w:t>
      </w:r>
      <w:r w:rsidRPr="00DF3598">
        <w:rPr>
          <w:rFonts w:cs="Arial"/>
          <w:sz w:val="24"/>
          <w:szCs w:val="24"/>
        </w:rPr>
        <w:t>discipline, self–reliance, and nationalism.</w:t>
      </w:r>
    </w:p>
    <w:p w:rsidR="002C17B2" w:rsidRPr="00DF3598" w:rsidRDefault="002C17B2" w:rsidP="004834E6">
      <w:pPr>
        <w:pStyle w:val="NoSpacing"/>
        <w:ind w:left="360"/>
        <w:jc w:val="both"/>
        <w:rPr>
          <w:rFonts w:cs="Arial"/>
          <w:sz w:val="24"/>
          <w:szCs w:val="24"/>
        </w:rPr>
      </w:pPr>
    </w:p>
    <w:p w:rsidR="002C17B2" w:rsidRPr="00DF3598" w:rsidRDefault="002C17B2" w:rsidP="004834E6">
      <w:pPr>
        <w:pStyle w:val="NoSpacing"/>
        <w:ind w:firstLine="720"/>
        <w:jc w:val="both"/>
        <w:rPr>
          <w:rFonts w:cs="Arial"/>
          <w:sz w:val="24"/>
          <w:szCs w:val="24"/>
        </w:rPr>
      </w:pPr>
      <w:r w:rsidRPr="00DF3598">
        <w:rPr>
          <w:rFonts w:cs="Arial"/>
          <w:sz w:val="24"/>
          <w:szCs w:val="24"/>
        </w:rPr>
        <w:t>In the process of carrying out its mandate, TESDA employs a four-layered system in its organizational structure referred to as COROPOTI (Central Office, Regional Office, Provincial Office, and TESDA Technology Institutions). Although each layer has well-defined functions and roles, TESDA does not limit itself to the regional and local situations but also consider national and global realities that ha</w:t>
      </w:r>
      <w:r w:rsidR="00E017E8">
        <w:rPr>
          <w:rFonts w:cs="Arial"/>
          <w:sz w:val="24"/>
          <w:szCs w:val="24"/>
        </w:rPr>
        <w:t>ve</w:t>
      </w:r>
      <w:r w:rsidRPr="00DF3598">
        <w:rPr>
          <w:rFonts w:cs="Arial"/>
          <w:sz w:val="24"/>
          <w:szCs w:val="24"/>
        </w:rPr>
        <w:t xml:space="preserve"> impact on the TVET sector. </w:t>
      </w:r>
    </w:p>
    <w:p w:rsidR="002C17B2" w:rsidRPr="00DF3598" w:rsidRDefault="002C17B2" w:rsidP="004834E6">
      <w:pPr>
        <w:pStyle w:val="NoSpacing"/>
        <w:ind w:left="720"/>
        <w:jc w:val="both"/>
        <w:rPr>
          <w:rFonts w:cs="Arial"/>
          <w:sz w:val="24"/>
          <w:szCs w:val="24"/>
        </w:rPr>
      </w:pPr>
    </w:p>
    <w:p w:rsidR="002C17B2" w:rsidRPr="00DF3598" w:rsidRDefault="002C17B2" w:rsidP="004834E6">
      <w:pPr>
        <w:spacing w:line="240" w:lineRule="auto"/>
        <w:ind w:firstLine="720"/>
        <w:jc w:val="both"/>
        <w:rPr>
          <w:rFonts w:cs="Arial"/>
          <w:sz w:val="24"/>
          <w:szCs w:val="24"/>
        </w:rPr>
      </w:pPr>
      <w:r w:rsidRPr="00DF3598">
        <w:rPr>
          <w:rFonts w:cs="Arial"/>
          <w:sz w:val="24"/>
          <w:szCs w:val="24"/>
        </w:rPr>
        <w:t>To be able to deliver the aforementioned objectives, TESDA's role in the development of world-class middle level workforce is defined by its quality products and services in the areas of Direction Setting, Standards Setting and Systems Development, Support to Technical Vocational Education and Training (TVET) Provisions, and Institutional Capacity Building which make up the elements of its core business.</w:t>
      </w:r>
    </w:p>
    <w:p w:rsidR="002C17B2" w:rsidRPr="00DF3598" w:rsidRDefault="002C17B2" w:rsidP="004834E6">
      <w:pPr>
        <w:spacing w:line="240" w:lineRule="auto"/>
        <w:ind w:firstLine="720"/>
        <w:jc w:val="both"/>
        <w:rPr>
          <w:rFonts w:cs="Arial"/>
          <w:sz w:val="24"/>
          <w:szCs w:val="24"/>
        </w:rPr>
      </w:pPr>
      <w:r w:rsidRPr="00DF3598">
        <w:rPr>
          <w:rFonts w:cs="Arial"/>
          <w:sz w:val="24"/>
          <w:szCs w:val="24"/>
        </w:rPr>
        <w:t xml:space="preserve">TESDA’s Core Business is to provide national leadership in developing a skilled workforce in the country that is adequate and competitive enough to meet international work standards as well as the needs of local enterprises. It also includes ensuring access to technical education for the greater majority of the Filipinos. </w:t>
      </w:r>
    </w:p>
    <w:p w:rsidR="002C17B2" w:rsidRPr="00DF3598" w:rsidRDefault="002C17B2" w:rsidP="004834E6">
      <w:pPr>
        <w:spacing w:line="240" w:lineRule="auto"/>
        <w:jc w:val="both"/>
        <w:rPr>
          <w:rFonts w:cs="Arial"/>
          <w:sz w:val="24"/>
          <w:szCs w:val="24"/>
          <w:u w:val="single"/>
        </w:rPr>
      </w:pPr>
      <w:r w:rsidRPr="00DF3598">
        <w:rPr>
          <w:rFonts w:cs="Arial"/>
          <w:b/>
          <w:sz w:val="24"/>
          <w:szCs w:val="24"/>
          <w:u w:val="single"/>
        </w:rPr>
        <w:t xml:space="preserve">Direction Setting </w:t>
      </w:r>
    </w:p>
    <w:p w:rsidR="002C17B2" w:rsidRPr="00DF3598" w:rsidRDefault="002C17B2" w:rsidP="004834E6">
      <w:pPr>
        <w:spacing w:line="240" w:lineRule="auto"/>
        <w:ind w:firstLine="720"/>
        <w:jc w:val="both"/>
        <w:rPr>
          <w:rFonts w:cs="Arial"/>
          <w:sz w:val="24"/>
          <w:szCs w:val="24"/>
        </w:rPr>
      </w:pPr>
      <w:r w:rsidRPr="00DF3598">
        <w:rPr>
          <w:rFonts w:cs="Arial"/>
          <w:sz w:val="24"/>
          <w:szCs w:val="24"/>
        </w:rPr>
        <w:t>Central to TESDA’s role as an authority and national leader in TVET is to provide a clear sense of direction and program priorities. These programs and services include the formulation of plans and policies for the TVET sector, conduct and/or generation of researches and studies, and the dissemination of relevant data and information which serves as basis for an informed decision-making of its partners and stakeholders.</w:t>
      </w:r>
    </w:p>
    <w:p w:rsidR="002C17B2" w:rsidRPr="00DF3598" w:rsidRDefault="002C17B2" w:rsidP="004834E6">
      <w:pPr>
        <w:spacing w:line="240" w:lineRule="auto"/>
        <w:jc w:val="both"/>
        <w:rPr>
          <w:rFonts w:cs="Arial"/>
          <w:b/>
          <w:sz w:val="24"/>
          <w:szCs w:val="24"/>
          <w:u w:val="single"/>
        </w:rPr>
      </w:pPr>
      <w:r w:rsidRPr="00DF3598">
        <w:rPr>
          <w:rFonts w:cs="Arial"/>
          <w:b/>
          <w:sz w:val="24"/>
          <w:szCs w:val="24"/>
          <w:u w:val="single"/>
        </w:rPr>
        <w:lastRenderedPageBreak/>
        <w:t>Standards Settings and Systems Development</w:t>
      </w:r>
    </w:p>
    <w:p w:rsidR="002C17B2" w:rsidRPr="00DF3598" w:rsidRDefault="002C17B2" w:rsidP="004834E6">
      <w:pPr>
        <w:spacing w:line="240" w:lineRule="auto"/>
        <w:ind w:firstLine="720"/>
        <w:jc w:val="both"/>
        <w:rPr>
          <w:rFonts w:cs="Arial"/>
          <w:sz w:val="24"/>
          <w:szCs w:val="24"/>
        </w:rPr>
      </w:pPr>
      <w:r w:rsidRPr="00DF3598">
        <w:rPr>
          <w:rFonts w:cs="Arial"/>
          <w:sz w:val="24"/>
          <w:szCs w:val="24"/>
        </w:rPr>
        <w:t>Another pillar towards the realization of TESDA’s role is to ensure quality in all aspects of TVET through the standards setting and systems development. Standards refer not only to the skills of the workforce and the TVET institutions, but also to the processes and systems being adopted in the sector. These standards are benchmarks against which TESDA can measure the performances of the middle-level workers, trainees, and TVET institutions.</w:t>
      </w:r>
    </w:p>
    <w:p w:rsidR="002C17B2" w:rsidRPr="00DF3598" w:rsidRDefault="002C17B2" w:rsidP="004834E6">
      <w:pPr>
        <w:spacing w:line="240" w:lineRule="auto"/>
        <w:jc w:val="both"/>
        <w:rPr>
          <w:rFonts w:cs="Arial"/>
          <w:b/>
          <w:sz w:val="24"/>
          <w:szCs w:val="24"/>
          <w:u w:val="single"/>
        </w:rPr>
      </w:pPr>
      <w:r w:rsidRPr="00DF3598">
        <w:rPr>
          <w:rFonts w:cs="Arial"/>
          <w:b/>
          <w:sz w:val="24"/>
          <w:szCs w:val="24"/>
          <w:u w:val="single"/>
        </w:rPr>
        <w:t>Institutional Capacity Building</w:t>
      </w:r>
    </w:p>
    <w:p w:rsidR="002C17B2" w:rsidRPr="00DF3598" w:rsidRDefault="002C17B2" w:rsidP="004834E6">
      <w:pPr>
        <w:spacing w:line="240" w:lineRule="auto"/>
        <w:ind w:firstLine="720"/>
        <w:jc w:val="both"/>
        <w:rPr>
          <w:rFonts w:cs="Arial"/>
          <w:sz w:val="24"/>
          <w:szCs w:val="24"/>
        </w:rPr>
      </w:pPr>
      <w:r w:rsidRPr="00DF3598">
        <w:rPr>
          <w:rFonts w:cs="Arial"/>
          <w:sz w:val="24"/>
          <w:szCs w:val="24"/>
        </w:rPr>
        <w:t xml:space="preserve">To effectively deliver its programs and services within the context of its core business, it is a must for TESDA to have a sound internal capacity and capability. Institutional capacity building is necessary to build-up its competencies along the different requirements of its mandated functions. Towards this end, TESDA implements purposive staff development programs as well as enhancement of systems and procedures to make it as an empowered and efficient organization. It has also installed a Quality Management System to ensure customer satisfaction through excellence and quality service.  </w:t>
      </w:r>
    </w:p>
    <w:p w:rsidR="00A759C6" w:rsidRDefault="00A759C6" w:rsidP="004834E6">
      <w:pPr>
        <w:spacing w:after="0" w:line="240" w:lineRule="auto"/>
        <w:jc w:val="both"/>
        <w:rPr>
          <w:b/>
          <w:sz w:val="24"/>
          <w:szCs w:val="24"/>
        </w:rPr>
      </w:pPr>
    </w:p>
    <w:p w:rsidR="00756786" w:rsidRPr="00DF3598" w:rsidRDefault="00756786" w:rsidP="004834E6">
      <w:pPr>
        <w:spacing w:after="0" w:line="240" w:lineRule="auto"/>
        <w:jc w:val="both"/>
        <w:rPr>
          <w:b/>
          <w:sz w:val="24"/>
          <w:szCs w:val="24"/>
        </w:rPr>
      </w:pPr>
      <w:r w:rsidRPr="00DF3598">
        <w:rPr>
          <w:b/>
          <w:sz w:val="24"/>
          <w:szCs w:val="24"/>
        </w:rPr>
        <w:t>Chapter I:  TVET Situationer Framework</w:t>
      </w:r>
    </w:p>
    <w:p w:rsidR="00756786" w:rsidRPr="00DF3598" w:rsidRDefault="00756786" w:rsidP="004834E6">
      <w:pPr>
        <w:spacing w:after="0" w:line="240" w:lineRule="auto"/>
        <w:jc w:val="both"/>
        <w:rPr>
          <w:sz w:val="24"/>
          <w:szCs w:val="24"/>
        </w:rPr>
      </w:pPr>
    </w:p>
    <w:p w:rsidR="004A6AF1" w:rsidRPr="00DF3598" w:rsidRDefault="004A6AF1" w:rsidP="004834E6">
      <w:pPr>
        <w:spacing w:after="0" w:line="240" w:lineRule="auto"/>
        <w:jc w:val="both"/>
        <w:rPr>
          <w:sz w:val="24"/>
          <w:szCs w:val="24"/>
        </w:rPr>
      </w:pPr>
      <w:r w:rsidRPr="00DF3598">
        <w:rPr>
          <w:sz w:val="24"/>
          <w:szCs w:val="24"/>
        </w:rPr>
        <w:tab/>
        <w:t>The vision of TESDA is the transformational leader in the technical education and skills development of the Filipino workforce.  With this vision, its mission is to set direction, promulgate relevant standards, and implements programs geared towards a quality-assured and inclusive technical education and skills development and certification system.  It goals and objectives are the following:</w:t>
      </w:r>
    </w:p>
    <w:p w:rsidR="004A6AF1" w:rsidRPr="00DF3598" w:rsidRDefault="004A6AF1" w:rsidP="004834E6">
      <w:pPr>
        <w:spacing w:after="0" w:line="240" w:lineRule="auto"/>
        <w:jc w:val="both"/>
        <w:rPr>
          <w:sz w:val="24"/>
          <w:szCs w:val="24"/>
        </w:rPr>
      </w:pPr>
    </w:p>
    <w:p w:rsidR="004A6AF1" w:rsidRPr="00DF3598" w:rsidRDefault="004A6AF1" w:rsidP="004834E6">
      <w:pPr>
        <w:numPr>
          <w:ilvl w:val="0"/>
          <w:numId w:val="39"/>
        </w:numPr>
        <w:spacing w:after="0" w:line="240" w:lineRule="auto"/>
        <w:ind w:left="1080"/>
        <w:jc w:val="both"/>
        <w:rPr>
          <w:rFonts w:cstheme="minorHAnsi"/>
          <w:bCs/>
          <w:sz w:val="24"/>
          <w:szCs w:val="24"/>
        </w:rPr>
      </w:pPr>
      <w:r w:rsidRPr="00DF3598">
        <w:rPr>
          <w:rFonts w:cstheme="minorHAnsi"/>
          <w:bCs/>
          <w:sz w:val="24"/>
          <w:szCs w:val="24"/>
        </w:rPr>
        <w:t>Promote and strengthen the quality of technical education and skills development programs to attain international competitiveness</w:t>
      </w:r>
      <w:r w:rsidR="004C3334" w:rsidRPr="00DF3598">
        <w:rPr>
          <w:rFonts w:cstheme="minorHAnsi"/>
          <w:bCs/>
          <w:sz w:val="24"/>
          <w:szCs w:val="24"/>
        </w:rPr>
        <w:t>;</w:t>
      </w:r>
    </w:p>
    <w:p w:rsidR="004C3334" w:rsidRPr="00DF3598" w:rsidRDefault="004C3334" w:rsidP="004834E6">
      <w:pPr>
        <w:spacing w:after="0" w:line="240" w:lineRule="auto"/>
        <w:ind w:left="1080"/>
        <w:jc w:val="both"/>
        <w:rPr>
          <w:rFonts w:cstheme="minorHAnsi"/>
          <w:bCs/>
          <w:sz w:val="24"/>
          <w:szCs w:val="24"/>
        </w:rPr>
      </w:pPr>
    </w:p>
    <w:p w:rsidR="004A6AF1" w:rsidRPr="00DF3598" w:rsidRDefault="004A6AF1" w:rsidP="004834E6">
      <w:pPr>
        <w:numPr>
          <w:ilvl w:val="0"/>
          <w:numId w:val="39"/>
        </w:numPr>
        <w:spacing w:after="0" w:line="240" w:lineRule="auto"/>
        <w:ind w:left="1080"/>
        <w:jc w:val="both"/>
        <w:rPr>
          <w:rFonts w:cstheme="minorHAnsi"/>
          <w:bCs/>
          <w:sz w:val="24"/>
          <w:szCs w:val="24"/>
        </w:rPr>
      </w:pPr>
      <w:r w:rsidRPr="00DF3598">
        <w:rPr>
          <w:rFonts w:cstheme="minorHAnsi"/>
          <w:bCs/>
          <w:sz w:val="24"/>
          <w:szCs w:val="24"/>
        </w:rPr>
        <w:t>Focus technical education and skills development of workers on meeting the changing demands of the labor market</w:t>
      </w:r>
      <w:r w:rsidR="004C3334" w:rsidRPr="00DF3598">
        <w:rPr>
          <w:rFonts w:cstheme="minorHAnsi"/>
          <w:bCs/>
          <w:sz w:val="24"/>
          <w:szCs w:val="24"/>
        </w:rPr>
        <w:t>;</w:t>
      </w:r>
    </w:p>
    <w:p w:rsidR="004C3334" w:rsidRPr="00DF3598" w:rsidRDefault="004C3334" w:rsidP="004834E6">
      <w:pPr>
        <w:spacing w:after="0" w:line="240" w:lineRule="auto"/>
        <w:ind w:left="1080"/>
        <w:jc w:val="both"/>
        <w:rPr>
          <w:rFonts w:cstheme="minorHAnsi"/>
          <w:bCs/>
          <w:sz w:val="24"/>
          <w:szCs w:val="24"/>
        </w:rPr>
      </w:pPr>
    </w:p>
    <w:p w:rsidR="004A6AF1" w:rsidRPr="00DF3598" w:rsidRDefault="004A6AF1" w:rsidP="004834E6">
      <w:pPr>
        <w:numPr>
          <w:ilvl w:val="0"/>
          <w:numId w:val="39"/>
        </w:numPr>
        <w:spacing w:after="0" w:line="240" w:lineRule="auto"/>
        <w:ind w:left="1080"/>
        <w:jc w:val="both"/>
        <w:rPr>
          <w:rFonts w:cstheme="minorHAnsi"/>
          <w:bCs/>
          <w:sz w:val="24"/>
          <w:szCs w:val="24"/>
        </w:rPr>
      </w:pPr>
      <w:r w:rsidRPr="00DF3598">
        <w:rPr>
          <w:rFonts w:cstheme="minorHAnsi"/>
          <w:bCs/>
          <w:sz w:val="24"/>
          <w:szCs w:val="24"/>
        </w:rPr>
        <w:t>Encourage critical and creative thinking by disseminating the technical knowledge base of human resources by integrating 21</w:t>
      </w:r>
      <w:r w:rsidRPr="00DF3598">
        <w:rPr>
          <w:rFonts w:cstheme="minorHAnsi"/>
          <w:bCs/>
          <w:sz w:val="24"/>
          <w:szCs w:val="24"/>
          <w:vertAlign w:val="superscript"/>
        </w:rPr>
        <w:t>st</w:t>
      </w:r>
      <w:r w:rsidRPr="00DF3598">
        <w:rPr>
          <w:rFonts w:cstheme="minorHAnsi"/>
          <w:bCs/>
          <w:sz w:val="24"/>
          <w:szCs w:val="24"/>
        </w:rPr>
        <w:t xml:space="preserve"> century skills in the standards to produce world-class workforce</w:t>
      </w:r>
      <w:r w:rsidR="004C3334" w:rsidRPr="00DF3598">
        <w:rPr>
          <w:rFonts w:cstheme="minorHAnsi"/>
          <w:bCs/>
          <w:sz w:val="24"/>
          <w:szCs w:val="24"/>
        </w:rPr>
        <w:t>;</w:t>
      </w:r>
    </w:p>
    <w:p w:rsidR="004C3334" w:rsidRPr="00DF3598" w:rsidRDefault="004C3334" w:rsidP="004834E6">
      <w:pPr>
        <w:spacing w:after="0" w:line="240" w:lineRule="auto"/>
        <w:ind w:left="1080"/>
        <w:jc w:val="both"/>
        <w:rPr>
          <w:rFonts w:cstheme="minorHAnsi"/>
          <w:bCs/>
          <w:sz w:val="24"/>
          <w:szCs w:val="24"/>
        </w:rPr>
      </w:pPr>
    </w:p>
    <w:p w:rsidR="004A6AF1" w:rsidRPr="00DF3598" w:rsidRDefault="004A6AF1" w:rsidP="004834E6">
      <w:pPr>
        <w:numPr>
          <w:ilvl w:val="0"/>
          <w:numId w:val="39"/>
        </w:numPr>
        <w:spacing w:after="0" w:line="240" w:lineRule="auto"/>
        <w:ind w:left="1080"/>
        <w:jc w:val="both"/>
        <w:rPr>
          <w:rFonts w:cstheme="minorHAnsi"/>
          <w:bCs/>
          <w:sz w:val="24"/>
          <w:szCs w:val="24"/>
        </w:rPr>
      </w:pPr>
      <w:r w:rsidRPr="00DF3598">
        <w:rPr>
          <w:rFonts w:cstheme="minorHAnsi"/>
          <w:bCs/>
          <w:sz w:val="24"/>
          <w:szCs w:val="24"/>
        </w:rPr>
        <w:t>Recognize and encourage the complementary roles of public and private institutions, enterprises, LGUs and CSOs, in technical education and skills development and certification</w:t>
      </w:r>
      <w:r w:rsidR="004C3334" w:rsidRPr="00DF3598">
        <w:rPr>
          <w:rFonts w:cstheme="minorHAnsi"/>
          <w:bCs/>
          <w:sz w:val="24"/>
          <w:szCs w:val="24"/>
        </w:rPr>
        <w:t>;</w:t>
      </w:r>
    </w:p>
    <w:p w:rsidR="004C3334" w:rsidRPr="00DF3598" w:rsidRDefault="004C3334" w:rsidP="004834E6">
      <w:pPr>
        <w:spacing w:after="0" w:line="240" w:lineRule="auto"/>
        <w:ind w:left="1080"/>
        <w:jc w:val="both"/>
        <w:rPr>
          <w:rFonts w:cstheme="minorHAnsi"/>
          <w:bCs/>
          <w:sz w:val="24"/>
          <w:szCs w:val="24"/>
        </w:rPr>
      </w:pPr>
    </w:p>
    <w:p w:rsidR="004C3334" w:rsidRPr="00DF3598" w:rsidRDefault="004A6AF1" w:rsidP="004834E6">
      <w:pPr>
        <w:numPr>
          <w:ilvl w:val="0"/>
          <w:numId w:val="39"/>
        </w:numPr>
        <w:spacing w:after="0" w:line="240" w:lineRule="auto"/>
        <w:ind w:left="1080"/>
        <w:jc w:val="both"/>
        <w:rPr>
          <w:rFonts w:cstheme="minorHAnsi"/>
          <w:bCs/>
          <w:sz w:val="24"/>
          <w:szCs w:val="24"/>
        </w:rPr>
      </w:pPr>
      <w:r w:rsidRPr="00DF3598">
        <w:rPr>
          <w:rFonts w:cstheme="minorHAnsi"/>
          <w:bCs/>
          <w:sz w:val="24"/>
          <w:szCs w:val="24"/>
        </w:rPr>
        <w:t>Develop the capacities of stakeholders to participate in the planning and delivery of quality technical education and skills development and certification systems</w:t>
      </w:r>
      <w:r w:rsidR="004C3334" w:rsidRPr="00DF3598">
        <w:rPr>
          <w:rFonts w:cstheme="minorHAnsi"/>
          <w:bCs/>
          <w:sz w:val="24"/>
          <w:szCs w:val="24"/>
        </w:rPr>
        <w:t>; and</w:t>
      </w:r>
    </w:p>
    <w:p w:rsidR="004C3334" w:rsidRPr="00DF3598" w:rsidRDefault="004C3334" w:rsidP="004834E6">
      <w:pPr>
        <w:pStyle w:val="ListParagraph"/>
        <w:jc w:val="both"/>
        <w:rPr>
          <w:rFonts w:cstheme="minorHAnsi"/>
          <w:bCs/>
          <w:sz w:val="24"/>
          <w:szCs w:val="24"/>
        </w:rPr>
      </w:pPr>
    </w:p>
    <w:p w:rsidR="004A6AF1" w:rsidRPr="00DF3598" w:rsidRDefault="004A6AF1" w:rsidP="004834E6">
      <w:pPr>
        <w:numPr>
          <w:ilvl w:val="0"/>
          <w:numId w:val="39"/>
        </w:numPr>
        <w:spacing w:after="0" w:line="240" w:lineRule="auto"/>
        <w:ind w:left="1080"/>
        <w:jc w:val="both"/>
        <w:rPr>
          <w:rFonts w:cstheme="minorHAnsi"/>
          <w:bCs/>
          <w:sz w:val="24"/>
          <w:szCs w:val="24"/>
        </w:rPr>
      </w:pPr>
      <w:r w:rsidRPr="00DF3598">
        <w:rPr>
          <w:rFonts w:cstheme="minorHAnsi"/>
          <w:bCs/>
          <w:sz w:val="24"/>
          <w:szCs w:val="24"/>
        </w:rPr>
        <w:lastRenderedPageBreak/>
        <w:t>Inculcate desirable values through the development of moral character with emphasis on work ethic, self-discipline, self-reliance and nationalism</w:t>
      </w:r>
    </w:p>
    <w:p w:rsidR="004A6AF1" w:rsidRPr="00DF3598" w:rsidRDefault="004A6AF1" w:rsidP="004834E6">
      <w:pPr>
        <w:spacing w:after="0" w:line="240" w:lineRule="auto"/>
        <w:jc w:val="both"/>
        <w:rPr>
          <w:rFonts w:cstheme="minorHAnsi"/>
          <w:sz w:val="24"/>
          <w:szCs w:val="24"/>
        </w:rPr>
      </w:pPr>
    </w:p>
    <w:p w:rsidR="002C17B2" w:rsidRPr="00DF3598" w:rsidRDefault="004A6AF1" w:rsidP="004834E6">
      <w:pPr>
        <w:pStyle w:val="NoSpacing"/>
        <w:ind w:firstLine="720"/>
        <w:jc w:val="both"/>
        <w:rPr>
          <w:rFonts w:cs="Arial"/>
          <w:sz w:val="24"/>
          <w:szCs w:val="24"/>
        </w:rPr>
      </w:pPr>
      <w:r w:rsidRPr="00DF3598">
        <w:rPr>
          <w:rFonts w:cs="Arial"/>
          <w:sz w:val="24"/>
          <w:szCs w:val="24"/>
        </w:rPr>
        <w:t xml:space="preserve">TESDA MIMAROPA will be adopting </w:t>
      </w:r>
      <w:r w:rsidR="002C17B2" w:rsidRPr="00DF3598">
        <w:rPr>
          <w:rFonts w:cs="Arial"/>
          <w:sz w:val="24"/>
          <w:szCs w:val="24"/>
        </w:rPr>
        <w:t>the P</w:t>
      </w:r>
      <w:r w:rsidRPr="00DF3598">
        <w:rPr>
          <w:rFonts w:cs="Arial"/>
          <w:sz w:val="24"/>
          <w:szCs w:val="24"/>
        </w:rPr>
        <w:t xml:space="preserve">hilippine Development </w:t>
      </w:r>
      <w:r w:rsidR="002C17B2" w:rsidRPr="00DF3598">
        <w:rPr>
          <w:rFonts w:cs="Arial"/>
          <w:sz w:val="24"/>
          <w:szCs w:val="24"/>
        </w:rPr>
        <w:t>P</w:t>
      </w:r>
      <w:r w:rsidRPr="00DF3598">
        <w:rPr>
          <w:rFonts w:cs="Arial"/>
          <w:sz w:val="24"/>
          <w:szCs w:val="24"/>
        </w:rPr>
        <w:t>lan</w:t>
      </w:r>
      <w:r w:rsidR="002C17B2" w:rsidRPr="00DF3598">
        <w:rPr>
          <w:rFonts w:cs="Arial"/>
          <w:sz w:val="24"/>
          <w:szCs w:val="24"/>
        </w:rPr>
        <w:t xml:space="preserve"> framework of </w:t>
      </w:r>
      <w:r w:rsidRPr="00DF3598">
        <w:rPr>
          <w:rFonts w:cs="Arial"/>
          <w:sz w:val="24"/>
          <w:szCs w:val="24"/>
        </w:rPr>
        <w:t xml:space="preserve">the present administration which is the </w:t>
      </w:r>
      <w:r w:rsidR="002C17B2" w:rsidRPr="00DF3598">
        <w:rPr>
          <w:rFonts w:cs="Arial"/>
          <w:sz w:val="24"/>
          <w:szCs w:val="24"/>
        </w:rPr>
        <w:t>“Malasakit”, “Pagbabago”, and “Patuloy na Pag</w:t>
      </w:r>
      <w:r w:rsidR="004C3334" w:rsidRPr="00DF3598">
        <w:rPr>
          <w:rFonts w:cs="Arial"/>
          <w:sz w:val="24"/>
          <w:szCs w:val="24"/>
        </w:rPr>
        <w:t>-</w:t>
      </w:r>
      <w:r w:rsidR="002C17B2" w:rsidRPr="00DF3598">
        <w:rPr>
          <w:rFonts w:cs="Arial"/>
          <w:sz w:val="24"/>
          <w:szCs w:val="24"/>
        </w:rPr>
        <w:t>unlad” of which objectives are to enhance the Filipino moral fabric, to reduce poverty and to promote sustainable inclusive growth in the region</w:t>
      </w:r>
      <w:r w:rsidR="004C3334" w:rsidRPr="00DF3598">
        <w:rPr>
          <w:rFonts w:cs="Arial"/>
          <w:sz w:val="24"/>
          <w:szCs w:val="24"/>
        </w:rPr>
        <w:t xml:space="preserve">.  Further it has three (3) </w:t>
      </w:r>
      <w:r w:rsidR="0080022B" w:rsidRPr="00DF3598">
        <w:rPr>
          <w:rFonts w:cs="Arial"/>
          <w:sz w:val="24"/>
          <w:szCs w:val="24"/>
        </w:rPr>
        <w:t xml:space="preserve">basic </w:t>
      </w:r>
      <w:r w:rsidR="004C3334" w:rsidRPr="00DF3598">
        <w:rPr>
          <w:rFonts w:cs="Arial"/>
          <w:sz w:val="24"/>
          <w:szCs w:val="24"/>
        </w:rPr>
        <w:t>objectives as stipulated in the Regional TESD Plan 2017-2022</w:t>
      </w:r>
      <w:r w:rsidR="002C17B2" w:rsidRPr="00DF3598">
        <w:rPr>
          <w:rFonts w:cs="Arial"/>
          <w:sz w:val="24"/>
          <w:szCs w:val="24"/>
        </w:rPr>
        <w:t>:</w:t>
      </w:r>
    </w:p>
    <w:p w:rsidR="002C17B2" w:rsidRPr="00DF3598" w:rsidRDefault="002C17B2" w:rsidP="004834E6">
      <w:pPr>
        <w:pStyle w:val="NoSpacing"/>
        <w:ind w:left="720"/>
        <w:jc w:val="both"/>
        <w:rPr>
          <w:rFonts w:cs="Arial"/>
          <w:sz w:val="24"/>
          <w:szCs w:val="24"/>
        </w:rPr>
      </w:pPr>
    </w:p>
    <w:p w:rsidR="002C17B2" w:rsidRPr="00DF3598" w:rsidRDefault="002C17B2" w:rsidP="004834E6">
      <w:pPr>
        <w:pStyle w:val="NoSpacing"/>
        <w:numPr>
          <w:ilvl w:val="0"/>
          <w:numId w:val="2"/>
        </w:numPr>
        <w:ind w:left="1080"/>
        <w:jc w:val="both"/>
        <w:rPr>
          <w:rFonts w:cs="Arial"/>
          <w:sz w:val="24"/>
          <w:szCs w:val="24"/>
        </w:rPr>
      </w:pPr>
      <w:r w:rsidRPr="00DF3598">
        <w:rPr>
          <w:rFonts w:cs="Arial"/>
          <w:sz w:val="24"/>
          <w:szCs w:val="24"/>
        </w:rPr>
        <w:t xml:space="preserve">To accelerate human capital development by outlining the strategic direction, policies and programs for implementation of TVET in the region; </w:t>
      </w:r>
    </w:p>
    <w:p w:rsidR="002C17B2" w:rsidRPr="00DF3598" w:rsidRDefault="002C17B2" w:rsidP="004834E6">
      <w:pPr>
        <w:pStyle w:val="NoSpacing"/>
        <w:ind w:left="1080"/>
        <w:jc w:val="both"/>
        <w:rPr>
          <w:rFonts w:cs="Arial"/>
          <w:sz w:val="24"/>
          <w:szCs w:val="24"/>
        </w:rPr>
      </w:pPr>
    </w:p>
    <w:p w:rsidR="002C17B2" w:rsidRPr="00DF3598" w:rsidRDefault="002C17B2" w:rsidP="004834E6">
      <w:pPr>
        <w:pStyle w:val="NoSpacing"/>
        <w:numPr>
          <w:ilvl w:val="0"/>
          <w:numId w:val="2"/>
        </w:numPr>
        <w:ind w:left="1080"/>
        <w:jc w:val="both"/>
        <w:rPr>
          <w:rFonts w:cs="Arial"/>
          <w:sz w:val="24"/>
          <w:szCs w:val="24"/>
        </w:rPr>
      </w:pPr>
      <w:r w:rsidRPr="00DF3598">
        <w:rPr>
          <w:rFonts w:cs="Arial"/>
          <w:sz w:val="24"/>
          <w:szCs w:val="24"/>
        </w:rPr>
        <w:t xml:space="preserve">To develop lifelong learning opportunities by putting into operational terms the skills priorities identified, and implementation of strategic policies and directions.  </w:t>
      </w:r>
    </w:p>
    <w:p w:rsidR="002C17B2" w:rsidRPr="00DF3598" w:rsidRDefault="002C17B2" w:rsidP="004834E6">
      <w:pPr>
        <w:pStyle w:val="NoSpacing"/>
        <w:ind w:left="1080"/>
        <w:jc w:val="both"/>
        <w:rPr>
          <w:rFonts w:cs="Arial"/>
          <w:sz w:val="24"/>
          <w:szCs w:val="24"/>
        </w:rPr>
      </w:pPr>
    </w:p>
    <w:p w:rsidR="002C17B2" w:rsidRPr="00DF3598" w:rsidRDefault="002C17B2" w:rsidP="004834E6">
      <w:pPr>
        <w:pStyle w:val="NoSpacing"/>
        <w:numPr>
          <w:ilvl w:val="0"/>
          <w:numId w:val="2"/>
        </w:numPr>
        <w:ind w:left="1080"/>
        <w:jc w:val="both"/>
        <w:rPr>
          <w:rFonts w:cs="Arial"/>
          <w:sz w:val="24"/>
          <w:szCs w:val="24"/>
        </w:rPr>
      </w:pPr>
      <w:r w:rsidRPr="00DF3598">
        <w:rPr>
          <w:rFonts w:cs="Arial"/>
          <w:sz w:val="24"/>
          <w:szCs w:val="24"/>
        </w:rPr>
        <w:t>To enhance the quality of higher technical education and research as well to improve global competitiveness of our skilled workforce.</w:t>
      </w:r>
    </w:p>
    <w:p w:rsidR="002C17B2" w:rsidRPr="00DF3598" w:rsidRDefault="002C17B2" w:rsidP="004834E6">
      <w:pPr>
        <w:pStyle w:val="NoSpacing"/>
        <w:ind w:firstLine="720"/>
        <w:jc w:val="both"/>
        <w:rPr>
          <w:rFonts w:cs="Arial"/>
          <w:sz w:val="24"/>
          <w:szCs w:val="24"/>
        </w:rPr>
      </w:pPr>
    </w:p>
    <w:p w:rsidR="00756786" w:rsidRPr="00DF3598" w:rsidRDefault="004C3334" w:rsidP="004834E6">
      <w:pPr>
        <w:spacing w:after="0" w:line="240" w:lineRule="auto"/>
        <w:jc w:val="both"/>
        <w:rPr>
          <w:sz w:val="24"/>
          <w:szCs w:val="24"/>
        </w:rPr>
      </w:pPr>
      <w:r w:rsidRPr="00DF3598">
        <w:rPr>
          <w:rFonts w:cs="Arial"/>
          <w:sz w:val="24"/>
          <w:szCs w:val="24"/>
        </w:rPr>
        <w:tab/>
      </w:r>
    </w:p>
    <w:p w:rsidR="00756786" w:rsidRPr="00DF3598" w:rsidRDefault="00756786" w:rsidP="004834E6">
      <w:pPr>
        <w:spacing w:after="0" w:line="240" w:lineRule="auto"/>
        <w:jc w:val="both"/>
        <w:rPr>
          <w:b/>
          <w:sz w:val="24"/>
          <w:szCs w:val="24"/>
        </w:rPr>
      </w:pPr>
      <w:r w:rsidRPr="00DF3598">
        <w:rPr>
          <w:b/>
          <w:sz w:val="24"/>
          <w:szCs w:val="24"/>
        </w:rPr>
        <w:t>Chapter II:  TVET Environment</w:t>
      </w:r>
    </w:p>
    <w:p w:rsidR="00701BCD" w:rsidRPr="00DF3598" w:rsidRDefault="00701BCD" w:rsidP="004834E6">
      <w:pPr>
        <w:spacing w:after="0" w:line="240" w:lineRule="auto"/>
        <w:jc w:val="both"/>
        <w:rPr>
          <w:b/>
          <w:sz w:val="24"/>
          <w:szCs w:val="24"/>
        </w:rPr>
      </w:pPr>
    </w:p>
    <w:p w:rsidR="002C17B2" w:rsidRPr="00DF3598" w:rsidRDefault="002C17B2" w:rsidP="004834E6">
      <w:pPr>
        <w:spacing w:line="240" w:lineRule="auto"/>
        <w:jc w:val="both"/>
        <w:rPr>
          <w:rFonts w:cs="Arial"/>
          <w:b/>
          <w:sz w:val="24"/>
          <w:szCs w:val="24"/>
          <w:u w:val="single"/>
        </w:rPr>
      </w:pPr>
      <w:r w:rsidRPr="00DF3598">
        <w:rPr>
          <w:rFonts w:cs="Arial"/>
          <w:b/>
          <w:sz w:val="24"/>
          <w:szCs w:val="24"/>
          <w:u w:val="single"/>
        </w:rPr>
        <w:t>Internal Environment</w:t>
      </w:r>
    </w:p>
    <w:p w:rsidR="00701BCD" w:rsidRPr="00DF3598" w:rsidRDefault="002C17B2" w:rsidP="004834E6">
      <w:pPr>
        <w:spacing w:line="240" w:lineRule="auto"/>
        <w:ind w:firstLine="720"/>
        <w:jc w:val="both"/>
        <w:rPr>
          <w:rFonts w:cs="Arial"/>
          <w:sz w:val="24"/>
          <w:szCs w:val="24"/>
        </w:rPr>
      </w:pPr>
      <w:r w:rsidRPr="00DF3598">
        <w:rPr>
          <w:rFonts w:cs="Arial"/>
          <w:sz w:val="24"/>
          <w:szCs w:val="24"/>
        </w:rPr>
        <w:t xml:space="preserve">The MIMAROPA region is composed of five (5) island provinces and is the nearest Island Region to Metro Manila. It was chartered as a region last 2003 when it was administratively separated from Region 4-A, or the CALABARZON. It now plans its own development path and investments including skills development of its constituency. It has good soil which is conducive for agriculture and rich marine life for agri-fisheries programs. Its main income is the potential value of its agricultural produce and maximum return from its innate beauty and attraction of its tourism sites. </w:t>
      </w:r>
    </w:p>
    <w:p w:rsidR="002C17B2" w:rsidRPr="00DF3598" w:rsidRDefault="002C17B2" w:rsidP="004834E6">
      <w:pPr>
        <w:spacing w:after="0" w:line="240" w:lineRule="auto"/>
        <w:jc w:val="both"/>
        <w:rPr>
          <w:rFonts w:cs="Arial"/>
          <w:b/>
          <w:sz w:val="24"/>
          <w:szCs w:val="24"/>
          <w:u w:val="single"/>
        </w:rPr>
      </w:pPr>
      <w:r w:rsidRPr="00DF3598">
        <w:rPr>
          <w:rFonts w:cs="Arial"/>
          <w:b/>
          <w:sz w:val="24"/>
          <w:szCs w:val="24"/>
          <w:u w:val="single"/>
        </w:rPr>
        <w:t>Regional Economy</w:t>
      </w:r>
    </w:p>
    <w:p w:rsidR="002C17B2" w:rsidRPr="00DF3598" w:rsidRDefault="002C17B2" w:rsidP="004834E6">
      <w:pPr>
        <w:pStyle w:val="NormalWeb"/>
        <w:shd w:val="clear" w:color="auto" w:fill="FFFFFF"/>
        <w:spacing w:before="0" w:beforeAutospacing="0" w:after="0" w:afterAutospacing="0"/>
        <w:ind w:firstLine="720"/>
        <w:jc w:val="both"/>
        <w:rPr>
          <w:rFonts w:ascii="Calibri" w:hAnsi="Calibri" w:cs="Calibri"/>
        </w:rPr>
      </w:pPr>
    </w:p>
    <w:p w:rsidR="002C17B2" w:rsidRPr="00DF3598" w:rsidRDefault="002C17B2" w:rsidP="004834E6">
      <w:pPr>
        <w:pStyle w:val="NormalWeb"/>
        <w:shd w:val="clear" w:color="auto" w:fill="FFFFFF"/>
        <w:spacing w:before="0" w:beforeAutospacing="0" w:after="0" w:afterAutospacing="0"/>
        <w:ind w:firstLine="720"/>
        <w:jc w:val="both"/>
        <w:rPr>
          <w:rFonts w:ascii="Calibri" w:hAnsi="Calibri" w:cs="Calibri"/>
        </w:rPr>
      </w:pPr>
      <w:r w:rsidRPr="00DF3598">
        <w:rPr>
          <w:rFonts w:ascii="Calibri" w:hAnsi="Calibri" w:cs="Calibri"/>
        </w:rPr>
        <w:t>Those from the development planning and public policy circles are optimistic on the prospects about MIMAROPA’s economic performance for the coming years. Looking at trends in the last two years key economic indicators can only expect but a developing agriculture and tourism based economy in 2018.</w:t>
      </w:r>
    </w:p>
    <w:p w:rsidR="002C17B2" w:rsidRPr="00DF3598" w:rsidRDefault="002C17B2" w:rsidP="004834E6">
      <w:pPr>
        <w:pStyle w:val="NormalWeb"/>
        <w:shd w:val="clear" w:color="auto" w:fill="FFFFFF"/>
        <w:spacing w:before="0" w:beforeAutospacing="0" w:after="0" w:afterAutospacing="0"/>
        <w:ind w:firstLine="720"/>
        <w:jc w:val="both"/>
        <w:rPr>
          <w:rFonts w:ascii="Calibri" w:hAnsi="Calibri" w:cs="Calibri"/>
        </w:rPr>
      </w:pPr>
    </w:p>
    <w:p w:rsidR="002C17B2" w:rsidRPr="00DF3598" w:rsidRDefault="002C17B2" w:rsidP="004834E6">
      <w:pPr>
        <w:pStyle w:val="NormalWeb"/>
        <w:shd w:val="clear" w:color="auto" w:fill="FFFFFF"/>
        <w:spacing w:before="0" w:beforeAutospacing="0" w:after="0" w:afterAutospacing="0"/>
        <w:ind w:firstLine="720"/>
        <w:jc w:val="both"/>
        <w:rPr>
          <w:rFonts w:ascii="Calibri" w:hAnsi="Calibri" w:cs="Calibri"/>
        </w:rPr>
      </w:pPr>
      <w:r w:rsidRPr="00DF3598">
        <w:rPr>
          <w:rFonts w:ascii="Calibri" w:hAnsi="Calibri" w:cs="Calibri"/>
        </w:rPr>
        <w:t xml:space="preserve">Growth records across major productive sectors in the region, namely agriculture, tourism and services are expected to develop its upward momentum and sustain the 32.8 % share in the regional industry GRDP, 24% share in the GRDP services and 43.2% share in  agriculture GRDP comprising the growth of at least 1.65%  of its share to the country’s Gross Domestic Product (GDP) for 2016. This is notwithstanding the fact that the whole economy had </w:t>
      </w:r>
      <w:r w:rsidRPr="00DF3598">
        <w:rPr>
          <w:rFonts w:ascii="Calibri" w:hAnsi="Calibri" w:cs="Calibri"/>
        </w:rPr>
        <w:lastRenderedPageBreak/>
        <w:t>a relatively modest Gross Domestic Product (GDP) growth of 1.68 % percent for the same period.</w:t>
      </w:r>
    </w:p>
    <w:p w:rsidR="002C17B2" w:rsidRPr="00DF3598" w:rsidRDefault="002C17B2" w:rsidP="004834E6">
      <w:pPr>
        <w:pStyle w:val="NormalWeb"/>
        <w:shd w:val="clear" w:color="auto" w:fill="FFFFFF"/>
        <w:spacing w:before="0" w:beforeAutospacing="0" w:after="0" w:afterAutospacing="0"/>
        <w:ind w:firstLine="720"/>
        <w:jc w:val="both"/>
        <w:rPr>
          <w:rFonts w:ascii="Calibri" w:hAnsi="Calibri" w:cs="Calibri"/>
        </w:rPr>
      </w:pPr>
    </w:p>
    <w:p w:rsidR="002C17B2" w:rsidRPr="00DF3598" w:rsidRDefault="002C17B2" w:rsidP="004834E6">
      <w:pPr>
        <w:pStyle w:val="NormalWeb"/>
        <w:shd w:val="clear" w:color="auto" w:fill="FFFFFF"/>
        <w:spacing w:before="0" w:beforeAutospacing="0" w:after="0" w:afterAutospacing="0"/>
        <w:ind w:firstLine="720"/>
        <w:jc w:val="both"/>
        <w:rPr>
          <w:rFonts w:ascii="Calibri" w:hAnsi="Calibri" w:cs="Calibri"/>
        </w:rPr>
      </w:pPr>
      <w:r w:rsidRPr="00DF3598">
        <w:rPr>
          <w:rFonts w:ascii="Calibri" w:hAnsi="Calibri" w:cs="Calibri"/>
        </w:rPr>
        <w:t>In the area of agriculture, from a harvest of about 612,934 metric tons of palay in 2016, production is targeted to contribute to a bigger share to national total bringing the country closer to achieving rice self-sufficiency by 2022 and beyond.</w:t>
      </w:r>
    </w:p>
    <w:p w:rsidR="002C17B2" w:rsidRPr="00DF3598" w:rsidRDefault="002C17B2" w:rsidP="004834E6">
      <w:pPr>
        <w:pStyle w:val="NormalWeb"/>
        <w:shd w:val="clear" w:color="auto" w:fill="FFFFFF"/>
        <w:spacing w:before="0" w:beforeAutospacing="0" w:after="0" w:afterAutospacing="0"/>
        <w:ind w:firstLine="720"/>
        <w:jc w:val="both"/>
        <w:rPr>
          <w:rFonts w:ascii="Calibri" w:hAnsi="Calibri" w:cs="Calibri"/>
        </w:rPr>
      </w:pPr>
    </w:p>
    <w:p w:rsidR="002C17B2" w:rsidRPr="00DF3598" w:rsidRDefault="002C17B2" w:rsidP="004834E6">
      <w:pPr>
        <w:pStyle w:val="NormalWeb"/>
        <w:shd w:val="clear" w:color="auto" w:fill="FFFFFF"/>
        <w:spacing w:before="0" w:beforeAutospacing="0" w:after="0" w:afterAutospacing="0"/>
        <w:ind w:firstLine="720"/>
        <w:jc w:val="both"/>
        <w:rPr>
          <w:rFonts w:ascii="Calibri" w:hAnsi="Calibri" w:cs="Calibri"/>
        </w:rPr>
      </w:pPr>
      <w:r w:rsidRPr="00DF3598">
        <w:rPr>
          <w:rFonts w:ascii="Calibri" w:hAnsi="Calibri" w:cs="Calibri"/>
        </w:rPr>
        <w:t xml:space="preserve"> In services, tourism has been providing the needed push as more and more tourists continue to flock the region. Visitor arrivals in the region breached the three hundred thousand mark reaching 346,327 thousand visitors in 2016 and continuously increasing. The expansion in the operation of Palawan’s tourism sites was pivotal in the huge addition to the number of tourists.</w:t>
      </w:r>
    </w:p>
    <w:p w:rsidR="002C17B2" w:rsidRPr="00DF3598" w:rsidRDefault="002C17B2" w:rsidP="004834E6">
      <w:pPr>
        <w:pStyle w:val="NormalWeb"/>
        <w:shd w:val="clear" w:color="auto" w:fill="FFFFFF"/>
        <w:spacing w:before="0" w:beforeAutospacing="0" w:after="0" w:afterAutospacing="0"/>
        <w:ind w:firstLine="720"/>
        <w:jc w:val="both"/>
        <w:rPr>
          <w:rFonts w:ascii="Calibri" w:hAnsi="Calibri" w:cs="Calibri"/>
        </w:rPr>
      </w:pPr>
    </w:p>
    <w:p w:rsidR="002C17B2" w:rsidRPr="00DF3598" w:rsidRDefault="002C17B2" w:rsidP="004834E6">
      <w:pPr>
        <w:pStyle w:val="NormalWeb"/>
        <w:shd w:val="clear" w:color="auto" w:fill="FFFFFF"/>
        <w:spacing w:before="0" w:beforeAutospacing="0" w:after="0" w:afterAutospacing="0"/>
        <w:ind w:firstLine="720"/>
        <w:jc w:val="both"/>
        <w:rPr>
          <w:rFonts w:ascii="Calibri" w:hAnsi="Calibri" w:cs="Calibri"/>
        </w:rPr>
      </w:pPr>
      <w:r w:rsidRPr="00DF3598">
        <w:rPr>
          <w:rFonts w:ascii="Calibri" w:hAnsi="Calibri" w:cs="Calibri"/>
        </w:rPr>
        <w:t>The diverse character of the region's tourist attractions to include nature or ecotourism is seen to contribute to rural development and to the government's poverty reduction efforts. For example, more and more tourists find their way in Mindoro and Palawan, opening these provinces to more business opportunities. Tourism is expected to expand as the region promotes public investments in road infrastructure for enhanced access to favored tourist destinations and the policy environment conducive to greater public participation in tourist facility improvement.</w:t>
      </w:r>
    </w:p>
    <w:p w:rsidR="002C17B2" w:rsidRPr="00DF3598" w:rsidRDefault="002C17B2" w:rsidP="004834E6">
      <w:pPr>
        <w:pStyle w:val="NormalWeb"/>
        <w:shd w:val="clear" w:color="auto" w:fill="FFFFFF"/>
        <w:spacing w:before="0" w:beforeAutospacing="0" w:after="0" w:afterAutospacing="0"/>
        <w:ind w:firstLine="720"/>
        <w:jc w:val="both"/>
        <w:rPr>
          <w:rFonts w:ascii="Calibri" w:hAnsi="Calibri" w:cs="Calibri"/>
        </w:rPr>
      </w:pPr>
    </w:p>
    <w:p w:rsidR="002C17B2" w:rsidRPr="00DF3598" w:rsidRDefault="002C17B2" w:rsidP="004834E6">
      <w:pPr>
        <w:pStyle w:val="NormalWeb"/>
        <w:shd w:val="clear" w:color="auto" w:fill="FFFFFF"/>
        <w:spacing w:before="0" w:beforeAutospacing="0" w:after="0" w:afterAutospacing="0"/>
        <w:ind w:firstLine="720"/>
        <w:jc w:val="both"/>
        <w:rPr>
          <w:rFonts w:ascii="Calibri" w:hAnsi="Calibri" w:cs="Calibri"/>
        </w:rPr>
      </w:pPr>
      <w:r w:rsidRPr="00DF3598">
        <w:rPr>
          <w:rFonts w:ascii="Calibri" w:hAnsi="Calibri" w:cs="Calibri"/>
        </w:rPr>
        <w:t>Thus, barring the occurrence of natural calamities and external economic shocks, the region is capable of sustaining a comfortable 1.65% percent to 1.68 percent GRDP growth range for 2018.</w:t>
      </w:r>
    </w:p>
    <w:p w:rsidR="002C17B2" w:rsidRPr="00DF3598" w:rsidRDefault="002C17B2" w:rsidP="004834E6">
      <w:pPr>
        <w:pStyle w:val="NormalWeb"/>
        <w:shd w:val="clear" w:color="auto" w:fill="FFFFFF"/>
        <w:spacing w:before="0" w:beforeAutospacing="0" w:after="0" w:afterAutospacing="0"/>
        <w:ind w:firstLine="720"/>
        <w:jc w:val="both"/>
        <w:rPr>
          <w:rFonts w:ascii="Calibri" w:hAnsi="Calibri" w:cs="Calibri"/>
        </w:rPr>
      </w:pPr>
    </w:p>
    <w:p w:rsidR="002C17B2" w:rsidRPr="00DF3598" w:rsidRDefault="002C17B2" w:rsidP="004834E6">
      <w:pPr>
        <w:pStyle w:val="NormalWeb"/>
        <w:shd w:val="clear" w:color="auto" w:fill="FFFFFF"/>
        <w:spacing w:before="0" w:beforeAutospacing="0" w:after="0" w:afterAutospacing="0"/>
        <w:ind w:firstLine="720"/>
        <w:jc w:val="both"/>
        <w:rPr>
          <w:rFonts w:ascii="Calibri" w:hAnsi="Calibri" w:cs="Calibri"/>
        </w:rPr>
      </w:pPr>
      <w:r w:rsidRPr="00DF3598">
        <w:rPr>
          <w:rFonts w:ascii="Calibri" w:hAnsi="Calibri" w:cs="Calibri"/>
        </w:rPr>
        <w:t xml:space="preserve">The region's competitiveness as a destination of choice and favored investment destination is expected to improve. Accessibility issue is being addressed with sustained support from the developing projects such as the nautical highway connecting the region to Manila and the other provinces in Visayas and Mindanao.  </w:t>
      </w:r>
    </w:p>
    <w:p w:rsidR="002C17B2" w:rsidRPr="00DF3598" w:rsidRDefault="002C17B2" w:rsidP="004834E6">
      <w:pPr>
        <w:pStyle w:val="NormalWeb"/>
        <w:shd w:val="clear" w:color="auto" w:fill="FFFFFF"/>
        <w:spacing w:before="0" w:beforeAutospacing="0" w:after="0" w:afterAutospacing="0"/>
        <w:ind w:firstLine="720"/>
        <w:jc w:val="both"/>
        <w:rPr>
          <w:rFonts w:ascii="Calibri" w:hAnsi="Calibri" w:cs="Calibri"/>
        </w:rPr>
      </w:pPr>
    </w:p>
    <w:p w:rsidR="002C17B2" w:rsidRPr="00DF3598" w:rsidRDefault="002C17B2" w:rsidP="004834E6">
      <w:pPr>
        <w:pStyle w:val="NormalWeb"/>
        <w:shd w:val="clear" w:color="auto" w:fill="FFFFFF"/>
        <w:spacing w:before="0" w:beforeAutospacing="0" w:after="0" w:afterAutospacing="0"/>
        <w:ind w:firstLine="720"/>
        <w:jc w:val="both"/>
        <w:rPr>
          <w:rFonts w:ascii="Calibri" w:hAnsi="Calibri" w:cs="Calibri"/>
        </w:rPr>
      </w:pPr>
      <w:r w:rsidRPr="00DF3598">
        <w:rPr>
          <w:rFonts w:ascii="Calibri" w:hAnsi="Calibri" w:cs="Calibri"/>
        </w:rPr>
        <w:t xml:space="preserve"> A strong agricultural sector characterized by government's strong support to irrigation, massive infusion of investments in roads, bridges, ports, airports and the economies of scale they create, physical integration that will pave the way for product and factor complementation for development of trade, direct anti-poverty interventions and public policy focused on organizational technology evident in the continually increasing and physically expanding eco-tourism are expected to draw up regional policy and investment landscape favorable to a rapid, high and sustained growth for the MIMAROPA Region.</w:t>
      </w:r>
    </w:p>
    <w:p w:rsidR="002C17B2" w:rsidRPr="00DF3598" w:rsidRDefault="002C17B2" w:rsidP="004834E6">
      <w:pPr>
        <w:spacing w:after="0" w:line="240" w:lineRule="auto"/>
        <w:jc w:val="both"/>
        <w:rPr>
          <w:rFonts w:cs="Arial"/>
          <w:b/>
          <w:sz w:val="24"/>
          <w:szCs w:val="24"/>
          <w:u w:val="single"/>
        </w:rPr>
      </w:pPr>
    </w:p>
    <w:p w:rsidR="002C17B2" w:rsidRPr="00DF3598" w:rsidRDefault="002C17B2" w:rsidP="004834E6">
      <w:pPr>
        <w:pStyle w:val="NoSpacing"/>
        <w:jc w:val="both"/>
        <w:rPr>
          <w:rFonts w:cs="Arial"/>
          <w:b/>
          <w:sz w:val="24"/>
          <w:szCs w:val="24"/>
          <w:u w:val="single"/>
        </w:rPr>
      </w:pPr>
      <w:r w:rsidRPr="00DF3598">
        <w:rPr>
          <w:rFonts w:cs="Arial"/>
          <w:b/>
          <w:sz w:val="24"/>
          <w:szCs w:val="24"/>
          <w:u w:val="single"/>
        </w:rPr>
        <w:t>Labor Market, Supply and Demand</w:t>
      </w:r>
    </w:p>
    <w:p w:rsidR="002C17B2" w:rsidRPr="00DF3598" w:rsidRDefault="002C17B2" w:rsidP="004834E6">
      <w:pPr>
        <w:pStyle w:val="NoSpacing"/>
        <w:jc w:val="both"/>
        <w:rPr>
          <w:rFonts w:cs="Arial"/>
          <w:b/>
          <w:sz w:val="24"/>
          <w:szCs w:val="24"/>
          <w:u w:val="single"/>
        </w:rPr>
      </w:pPr>
    </w:p>
    <w:p w:rsidR="002C17B2" w:rsidRPr="00DF3598" w:rsidRDefault="002C17B2" w:rsidP="004834E6">
      <w:pPr>
        <w:spacing w:line="240" w:lineRule="auto"/>
        <w:ind w:firstLine="720"/>
        <w:jc w:val="both"/>
        <w:rPr>
          <w:rFonts w:cs="Arial"/>
          <w:sz w:val="24"/>
          <w:szCs w:val="24"/>
        </w:rPr>
      </w:pPr>
      <w:r w:rsidRPr="00DF3598">
        <w:rPr>
          <w:rFonts w:cs="Arial"/>
          <w:sz w:val="24"/>
          <w:szCs w:val="24"/>
        </w:rPr>
        <w:t xml:space="preserve">According to the 2009 Summary of Findings and Recommendations of Project JobsFit: DOLE 2020 Vision compiled by The Bureau of Labor and Employment, at least 12 Key Employment Generators (KEGs) have been identified as labor market which can absorb the job-ready Filipino workforce. The KEGs that were identified as employment drivers in MIMAROPA </w:t>
      </w:r>
      <w:r w:rsidRPr="00DF3598">
        <w:rPr>
          <w:rFonts w:cs="Arial"/>
          <w:sz w:val="24"/>
          <w:szCs w:val="24"/>
        </w:rPr>
        <w:lastRenderedPageBreak/>
        <w:t xml:space="preserve">include; agribusiness, cyber services, health and wellness, hotel, restaurant and tourism, mining, and construction. Based on the economic data of the Region, all of these KEGs are present in almost all of the five (5) provinces in the Region. </w:t>
      </w:r>
    </w:p>
    <w:p w:rsidR="002C17B2" w:rsidRPr="00DF3598" w:rsidRDefault="002C17B2" w:rsidP="004834E6">
      <w:pPr>
        <w:spacing w:after="0" w:line="240" w:lineRule="auto"/>
        <w:ind w:firstLine="720"/>
        <w:jc w:val="both"/>
        <w:rPr>
          <w:rFonts w:cs="Arial"/>
          <w:sz w:val="24"/>
          <w:szCs w:val="24"/>
        </w:rPr>
      </w:pPr>
      <w:r w:rsidRPr="00DF3598">
        <w:rPr>
          <w:rFonts w:cs="Arial"/>
          <w:sz w:val="24"/>
          <w:szCs w:val="24"/>
        </w:rPr>
        <w:t>In addition, also identified were four emerging industries and the global opportunities thru overseas employment. The emerging industries are: diversified/strategic farming and fishing, power and utilities, and renewable energy. On the other hand, the KEGs identified for the overseas employment are: healthcare services, building and construction, petroleum/oil and gas/energy, tourism and gaming industry, cyber services, manufacturing, seafaring, electronics, and household services.</w:t>
      </w:r>
    </w:p>
    <w:p w:rsidR="003C2C45" w:rsidRPr="00DF3598" w:rsidRDefault="003C2C45" w:rsidP="004834E6">
      <w:pPr>
        <w:spacing w:after="0" w:line="240" w:lineRule="auto"/>
        <w:jc w:val="both"/>
        <w:rPr>
          <w:rFonts w:cs="Arial"/>
          <w:b/>
          <w:sz w:val="24"/>
          <w:szCs w:val="24"/>
          <w:u w:val="single"/>
        </w:rPr>
      </w:pPr>
    </w:p>
    <w:p w:rsidR="002C17B2" w:rsidRPr="00DF3598" w:rsidRDefault="002C17B2" w:rsidP="004834E6">
      <w:pPr>
        <w:spacing w:after="0" w:line="240" w:lineRule="auto"/>
        <w:jc w:val="both"/>
        <w:rPr>
          <w:rFonts w:cs="Arial"/>
          <w:b/>
          <w:sz w:val="24"/>
          <w:szCs w:val="24"/>
          <w:u w:val="single"/>
        </w:rPr>
      </w:pPr>
      <w:r w:rsidRPr="00DF3598">
        <w:rPr>
          <w:rFonts w:cs="Arial"/>
          <w:b/>
          <w:sz w:val="24"/>
          <w:szCs w:val="24"/>
          <w:u w:val="single"/>
        </w:rPr>
        <w:t xml:space="preserve">Labor Supply </w:t>
      </w:r>
    </w:p>
    <w:p w:rsidR="00DF3598" w:rsidRPr="00DF3598" w:rsidRDefault="003C2C45" w:rsidP="004834E6">
      <w:pPr>
        <w:pStyle w:val="ListParagraph"/>
        <w:tabs>
          <w:tab w:val="left" w:pos="5940"/>
          <w:tab w:val="left" w:pos="6300"/>
        </w:tabs>
        <w:spacing w:after="0" w:line="240" w:lineRule="auto"/>
        <w:ind w:left="0"/>
        <w:jc w:val="both"/>
        <w:rPr>
          <w:rFonts w:cs="Calibri"/>
          <w:sz w:val="24"/>
          <w:szCs w:val="24"/>
        </w:rPr>
      </w:pPr>
      <w:r w:rsidRPr="00DF3598">
        <w:rPr>
          <w:rFonts w:cs="Calibri"/>
          <w:sz w:val="24"/>
          <w:szCs w:val="24"/>
        </w:rPr>
        <w:t xml:space="preserve">         </w:t>
      </w:r>
    </w:p>
    <w:p w:rsidR="003C2C45" w:rsidRPr="00DF3598" w:rsidRDefault="003C2C45" w:rsidP="00DF3598">
      <w:pPr>
        <w:pStyle w:val="ListParagraph"/>
        <w:spacing w:after="0" w:line="240" w:lineRule="auto"/>
        <w:ind w:left="0"/>
        <w:jc w:val="both"/>
        <w:rPr>
          <w:rFonts w:cs="Calibri"/>
          <w:sz w:val="24"/>
          <w:szCs w:val="24"/>
        </w:rPr>
      </w:pPr>
      <w:r w:rsidRPr="00DF3598">
        <w:rPr>
          <w:rFonts w:cs="Calibri"/>
          <w:sz w:val="24"/>
          <w:szCs w:val="24"/>
        </w:rPr>
        <w:t xml:space="preserve">   </w:t>
      </w:r>
      <w:r w:rsidR="00DF3598">
        <w:rPr>
          <w:rFonts w:cs="Calibri"/>
          <w:sz w:val="24"/>
          <w:szCs w:val="24"/>
        </w:rPr>
        <w:tab/>
      </w:r>
      <w:r w:rsidRPr="00DF3598">
        <w:rPr>
          <w:rFonts w:cs="Calibri"/>
          <w:sz w:val="24"/>
          <w:szCs w:val="24"/>
        </w:rPr>
        <w:t>Labor supply for the MIMAROPA labor market is characterized as relatively young, educated and predominantly male. Nearly fifty per cent (50%) of its labor force have reached high school with those having college education at more than twenty one per cent (21%). While the over-all unemployment rate of the Region in January 2017 stands at 12 per cent, the college educated have more than double unemployment rate. Unemployment seems to be positively correlated with higher educational qualifications. The reverse however is happening among the underemployed as the least educated have high underemployment rates compared to the more educated ones.</w:t>
      </w:r>
    </w:p>
    <w:p w:rsidR="003C2C45" w:rsidRPr="00DF3598" w:rsidRDefault="003C2C45" w:rsidP="004834E6">
      <w:pPr>
        <w:pStyle w:val="ListParagraph"/>
        <w:tabs>
          <w:tab w:val="left" w:pos="5940"/>
          <w:tab w:val="left" w:pos="6300"/>
        </w:tabs>
        <w:spacing w:after="0" w:line="240" w:lineRule="auto"/>
        <w:ind w:left="0"/>
        <w:jc w:val="both"/>
        <w:rPr>
          <w:rFonts w:cs="Calibri"/>
          <w:sz w:val="24"/>
          <w:szCs w:val="24"/>
        </w:rPr>
      </w:pPr>
      <w:r w:rsidRPr="00DF3598">
        <w:rPr>
          <w:rFonts w:cs="Calibri"/>
          <w:sz w:val="24"/>
          <w:szCs w:val="24"/>
        </w:rPr>
        <w:t xml:space="preserve">           </w:t>
      </w:r>
    </w:p>
    <w:p w:rsidR="003C2C45" w:rsidRPr="00DF3598" w:rsidRDefault="003C2C45" w:rsidP="004834E6">
      <w:pPr>
        <w:pStyle w:val="ListParagraph"/>
        <w:tabs>
          <w:tab w:val="left" w:pos="5940"/>
          <w:tab w:val="left" w:pos="6300"/>
        </w:tabs>
        <w:spacing w:after="0" w:line="240" w:lineRule="auto"/>
        <w:ind w:left="0"/>
        <w:jc w:val="both"/>
        <w:rPr>
          <w:rFonts w:cs="Calibri"/>
          <w:sz w:val="24"/>
          <w:szCs w:val="24"/>
        </w:rPr>
      </w:pPr>
      <w:r w:rsidRPr="00DF3598">
        <w:rPr>
          <w:rFonts w:cs="Calibri"/>
          <w:sz w:val="24"/>
          <w:szCs w:val="24"/>
        </w:rPr>
        <w:t xml:space="preserve">               In terms of sector distribution, the Region, has Wholesale and Retail Trade, Repair of Motor Vehicles and Motorcycles and Personal and Household Goods still employing 31.6 per cent of the Region’s workforce. Manufacturing comes in as third at 11 per cent and Real Estate, Renting and Business activities at 8.3 per cent and Hotel and Restaurants at 6.5 per cent. It is important to note that these sectors are on the upward trend and requires relatively a good number of middle level manpower in the coming years.</w:t>
      </w:r>
    </w:p>
    <w:p w:rsidR="003C2C45" w:rsidRPr="00DF3598" w:rsidRDefault="003C2C45" w:rsidP="004834E6">
      <w:pPr>
        <w:spacing w:after="0" w:line="240" w:lineRule="auto"/>
        <w:jc w:val="both"/>
        <w:rPr>
          <w:rFonts w:cs="Arial"/>
          <w:b/>
          <w:sz w:val="24"/>
          <w:szCs w:val="24"/>
          <w:u w:val="single"/>
        </w:rPr>
      </w:pPr>
    </w:p>
    <w:p w:rsidR="002C17B2" w:rsidRPr="00DF3598" w:rsidRDefault="002C17B2" w:rsidP="00DF3598">
      <w:pPr>
        <w:spacing w:after="0" w:line="240" w:lineRule="auto"/>
        <w:ind w:firstLine="720"/>
        <w:jc w:val="both"/>
        <w:rPr>
          <w:rFonts w:cs="Arial"/>
          <w:sz w:val="24"/>
          <w:szCs w:val="24"/>
        </w:rPr>
      </w:pPr>
      <w:r w:rsidRPr="00DF3598">
        <w:rPr>
          <w:rFonts w:cs="Arial"/>
          <w:sz w:val="24"/>
          <w:szCs w:val="24"/>
        </w:rPr>
        <w:t>From 2016</w:t>
      </w:r>
      <w:r w:rsidR="00D97C67" w:rsidRPr="00DF3598">
        <w:rPr>
          <w:rFonts w:cs="Arial"/>
          <w:sz w:val="24"/>
          <w:szCs w:val="24"/>
        </w:rPr>
        <w:t>-1</w:t>
      </w:r>
      <w:r w:rsidR="00D97C67" w:rsidRPr="00DF3598">
        <w:rPr>
          <w:rFonts w:cs="Arial"/>
          <w:sz w:val="24"/>
          <w:szCs w:val="24"/>
          <w:vertAlign w:val="superscript"/>
        </w:rPr>
        <w:t>st</w:t>
      </w:r>
      <w:r w:rsidR="00D97C67" w:rsidRPr="00DF3598">
        <w:rPr>
          <w:rFonts w:cs="Arial"/>
          <w:sz w:val="24"/>
          <w:szCs w:val="24"/>
        </w:rPr>
        <w:t xml:space="preserve"> semester of 2017</w:t>
      </w:r>
      <w:r w:rsidRPr="00DF3598">
        <w:rPr>
          <w:rFonts w:cs="Arial"/>
          <w:sz w:val="24"/>
          <w:szCs w:val="24"/>
        </w:rPr>
        <w:t>, MIMAROPA has a stock pil</w:t>
      </w:r>
      <w:r w:rsidR="00DF3598">
        <w:rPr>
          <w:rFonts w:cs="Arial"/>
          <w:sz w:val="24"/>
          <w:szCs w:val="24"/>
        </w:rPr>
        <w:t>e of job-ready workers totaling 138,097</w:t>
      </w:r>
      <w:r w:rsidRPr="00DF3598">
        <w:rPr>
          <w:rFonts w:cs="Arial"/>
          <w:color w:val="FF0000"/>
          <w:sz w:val="24"/>
          <w:szCs w:val="24"/>
        </w:rPr>
        <w:t xml:space="preserve"> </w:t>
      </w:r>
      <w:r w:rsidRPr="00DF3598">
        <w:rPr>
          <w:rFonts w:cs="Arial"/>
          <w:sz w:val="24"/>
          <w:szCs w:val="24"/>
        </w:rPr>
        <w:t xml:space="preserve">graduates. These job-ready workers are in the </w:t>
      </w:r>
      <w:r w:rsidR="00DF3598">
        <w:rPr>
          <w:rFonts w:cs="Arial"/>
          <w:sz w:val="24"/>
          <w:szCs w:val="24"/>
        </w:rPr>
        <w:t xml:space="preserve">sectors </w:t>
      </w:r>
      <w:r w:rsidRPr="00DF3598">
        <w:rPr>
          <w:rFonts w:cs="Arial"/>
          <w:sz w:val="24"/>
          <w:szCs w:val="24"/>
        </w:rPr>
        <w:t xml:space="preserve">of </w:t>
      </w:r>
      <w:r w:rsidR="00DF3598">
        <w:rPr>
          <w:rFonts w:cs="Arial"/>
          <w:sz w:val="24"/>
          <w:szCs w:val="24"/>
        </w:rPr>
        <w:t>agri-fishery, automotive, general infrastructure, metals and engineering, heating, ventilation, airconditioning and refrigeration, semi-conductor and electronics, garments, processed food and beverages, information and communication technology, tourism, land transportation, language and culture, and health, social and other community development services.</w:t>
      </w:r>
      <w:r w:rsidRPr="00DF3598">
        <w:rPr>
          <w:rFonts w:cs="Arial"/>
          <w:sz w:val="24"/>
          <w:szCs w:val="24"/>
        </w:rPr>
        <w:t xml:space="preserve"> </w:t>
      </w:r>
    </w:p>
    <w:p w:rsidR="003C2C45" w:rsidRPr="00DF3598" w:rsidRDefault="003C2C45" w:rsidP="004834E6">
      <w:pPr>
        <w:spacing w:after="0" w:line="240" w:lineRule="auto"/>
        <w:ind w:firstLine="720"/>
        <w:jc w:val="both"/>
        <w:rPr>
          <w:rFonts w:cs="Arial"/>
          <w:sz w:val="24"/>
          <w:szCs w:val="24"/>
        </w:rPr>
      </w:pPr>
    </w:p>
    <w:p w:rsidR="002C17B2" w:rsidRPr="00DF3598" w:rsidRDefault="002C17B2" w:rsidP="004834E6">
      <w:pPr>
        <w:spacing w:after="0" w:line="240" w:lineRule="auto"/>
        <w:ind w:firstLine="720"/>
        <w:jc w:val="both"/>
        <w:rPr>
          <w:rFonts w:cs="Arial"/>
          <w:sz w:val="24"/>
          <w:szCs w:val="24"/>
        </w:rPr>
      </w:pPr>
      <w:r w:rsidRPr="00DF3598">
        <w:rPr>
          <w:rFonts w:cs="Arial"/>
          <w:sz w:val="24"/>
          <w:szCs w:val="24"/>
        </w:rPr>
        <w:t xml:space="preserve">Meantime, the </w:t>
      </w:r>
      <w:r w:rsidR="00D97C67" w:rsidRPr="00DF3598">
        <w:rPr>
          <w:rFonts w:cs="Arial"/>
          <w:sz w:val="24"/>
          <w:szCs w:val="24"/>
        </w:rPr>
        <w:t xml:space="preserve">bulk of the </w:t>
      </w:r>
      <w:r w:rsidRPr="00DF3598">
        <w:rPr>
          <w:rFonts w:cs="Arial"/>
          <w:sz w:val="24"/>
          <w:szCs w:val="24"/>
        </w:rPr>
        <w:t xml:space="preserve">certified workers </w:t>
      </w:r>
      <w:r w:rsidR="00D97C67" w:rsidRPr="00DF3598">
        <w:rPr>
          <w:rFonts w:cs="Arial"/>
          <w:sz w:val="24"/>
          <w:szCs w:val="24"/>
        </w:rPr>
        <w:t xml:space="preserve">belonged to the </w:t>
      </w:r>
      <w:r w:rsidRPr="00DF3598">
        <w:rPr>
          <w:rFonts w:cs="Arial"/>
          <w:sz w:val="24"/>
          <w:szCs w:val="24"/>
        </w:rPr>
        <w:t>National Certificate Level II</w:t>
      </w:r>
      <w:r w:rsidR="00D97C67" w:rsidRPr="00DF3598">
        <w:rPr>
          <w:rFonts w:cs="Arial"/>
          <w:sz w:val="24"/>
          <w:szCs w:val="24"/>
        </w:rPr>
        <w:t>.</w:t>
      </w:r>
      <w:r w:rsidRPr="00DF3598">
        <w:rPr>
          <w:rFonts w:cs="Arial"/>
          <w:sz w:val="24"/>
          <w:szCs w:val="24"/>
        </w:rPr>
        <w:t xml:space="preserve"> </w:t>
      </w:r>
    </w:p>
    <w:p w:rsidR="003C2C45" w:rsidRPr="00DF3598" w:rsidRDefault="003C2C45" w:rsidP="004834E6">
      <w:pPr>
        <w:spacing w:after="0" w:line="240" w:lineRule="auto"/>
        <w:jc w:val="both"/>
        <w:rPr>
          <w:rFonts w:cs="Arial"/>
          <w:b/>
          <w:sz w:val="24"/>
          <w:szCs w:val="24"/>
          <w:u w:val="single"/>
        </w:rPr>
      </w:pPr>
    </w:p>
    <w:p w:rsidR="002C17B2" w:rsidRPr="00DF3598" w:rsidRDefault="002C17B2" w:rsidP="004834E6">
      <w:pPr>
        <w:spacing w:after="0" w:line="240" w:lineRule="auto"/>
        <w:jc w:val="both"/>
        <w:rPr>
          <w:rFonts w:cs="Arial"/>
          <w:b/>
          <w:sz w:val="24"/>
          <w:szCs w:val="24"/>
          <w:u w:val="single"/>
        </w:rPr>
      </w:pPr>
      <w:r w:rsidRPr="00DF3598">
        <w:rPr>
          <w:rFonts w:cs="Arial"/>
          <w:b/>
          <w:sz w:val="24"/>
          <w:szCs w:val="24"/>
          <w:u w:val="single"/>
        </w:rPr>
        <w:t>Skills Priorities</w:t>
      </w:r>
    </w:p>
    <w:p w:rsidR="003C2C45" w:rsidRPr="00DF3598" w:rsidRDefault="003C2C45" w:rsidP="004834E6">
      <w:pPr>
        <w:spacing w:after="0" w:line="240" w:lineRule="auto"/>
        <w:ind w:firstLine="720"/>
        <w:jc w:val="both"/>
        <w:rPr>
          <w:rFonts w:cs="Arial"/>
          <w:sz w:val="24"/>
          <w:szCs w:val="24"/>
        </w:rPr>
      </w:pPr>
    </w:p>
    <w:p w:rsidR="002C17B2" w:rsidRPr="00DF3598" w:rsidRDefault="002C17B2" w:rsidP="004834E6">
      <w:pPr>
        <w:spacing w:after="0" w:line="240" w:lineRule="auto"/>
        <w:ind w:firstLine="720"/>
        <w:jc w:val="both"/>
        <w:rPr>
          <w:rFonts w:cs="Arial"/>
          <w:sz w:val="24"/>
          <w:szCs w:val="24"/>
        </w:rPr>
      </w:pPr>
      <w:r w:rsidRPr="00DF3598">
        <w:rPr>
          <w:rFonts w:cs="Arial"/>
          <w:sz w:val="24"/>
          <w:szCs w:val="24"/>
        </w:rPr>
        <w:t xml:space="preserve">The five (5) provinces of the region have identified the various skills priorities </w:t>
      </w:r>
      <w:r w:rsidR="00086A13" w:rsidRPr="00DF3598">
        <w:rPr>
          <w:rFonts w:cs="Arial"/>
          <w:sz w:val="24"/>
          <w:szCs w:val="24"/>
        </w:rPr>
        <w:t xml:space="preserve">for the </w:t>
      </w:r>
      <w:r w:rsidRPr="00DF3598">
        <w:rPr>
          <w:rFonts w:cs="Arial"/>
          <w:sz w:val="24"/>
          <w:szCs w:val="24"/>
        </w:rPr>
        <w:t>next five years. The P</w:t>
      </w:r>
      <w:r w:rsidR="00086A13" w:rsidRPr="00DF3598">
        <w:rPr>
          <w:rFonts w:cs="Arial"/>
          <w:sz w:val="24"/>
          <w:szCs w:val="24"/>
        </w:rPr>
        <w:t xml:space="preserve">rovincial </w:t>
      </w:r>
      <w:r w:rsidRPr="00DF3598">
        <w:rPr>
          <w:rFonts w:cs="Arial"/>
          <w:sz w:val="24"/>
          <w:szCs w:val="24"/>
        </w:rPr>
        <w:t>S</w:t>
      </w:r>
      <w:r w:rsidR="00086A13" w:rsidRPr="00DF3598">
        <w:rPr>
          <w:rFonts w:cs="Arial"/>
          <w:sz w:val="24"/>
          <w:szCs w:val="24"/>
        </w:rPr>
        <w:t xml:space="preserve">kills </w:t>
      </w:r>
      <w:r w:rsidRPr="00DF3598">
        <w:rPr>
          <w:rFonts w:cs="Arial"/>
          <w:sz w:val="24"/>
          <w:szCs w:val="24"/>
        </w:rPr>
        <w:t>P</w:t>
      </w:r>
      <w:r w:rsidR="00086A13" w:rsidRPr="00DF3598">
        <w:rPr>
          <w:rFonts w:cs="Arial"/>
          <w:sz w:val="24"/>
          <w:szCs w:val="24"/>
        </w:rPr>
        <w:t>riorities (PSPs)</w:t>
      </w:r>
      <w:r w:rsidRPr="00DF3598">
        <w:rPr>
          <w:rFonts w:cs="Arial"/>
          <w:sz w:val="24"/>
          <w:szCs w:val="24"/>
        </w:rPr>
        <w:t xml:space="preserve"> confirmed that Construction, Community Services, and Hotel and Tourism are indeed three of the Regions’ Key Employment Generators</w:t>
      </w:r>
      <w:r w:rsidR="00086A13" w:rsidRPr="00DF3598">
        <w:rPr>
          <w:rFonts w:cs="Arial"/>
          <w:sz w:val="24"/>
          <w:szCs w:val="24"/>
        </w:rPr>
        <w:t>.</w:t>
      </w:r>
      <w:r w:rsidRPr="00DF3598">
        <w:rPr>
          <w:rFonts w:cs="Arial"/>
          <w:sz w:val="24"/>
          <w:szCs w:val="24"/>
        </w:rPr>
        <w:t xml:space="preserve"> </w:t>
      </w:r>
    </w:p>
    <w:p w:rsidR="00174E3E" w:rsidRDefault="00174E3E" w:rsidP="004834E6">
      <w:pPr>
        <w:spacing w:after="0" w:line="240" w:lineRule="auto"/>
        <w:ind w:firstLine="720"/>
        <w:jc w:val="both"/>
        <w:rPr>
          <w:rFonts w:cs="Arial"/>
          <w:sz w:val="24"/>
          <w:szCs w:val="24"/>
        </w:rPr>
      </w:pPr>
    </w:p>
    <w:p w:rsidR="002C17B2" w:rsidRPr="00DF3598" w:rsidRDefault="002C17B2" w:rsidP="004834E6">
      <w:pPr>
        <w:spacing w:after="0" w:line="240" w:lineRule="auto"/>
        <w:ind w:firstLine="720"/>
        <w:jc w:val="both"/>
        <w:rPr>
          <w:rFonts w:cs="Arial"/>
          <w:sz w:val="24"/>
          <w:szCs w:val="24"/>
        </w:rPr>
      </w:pPr>
      <w:r w:rsidRPr="00DF3598">
        <w:rPr>
          <w:rFonts w:cs="Arial"/>
          <w:sz w:val="24"/>
          <w:szCs w:val="24"/>
        </w:rPr>
        <w:lastRenderedPageBreak/>
        <w:t xml:space="preserve">The top 10 skills/occupations that have been identified as “needed skills” in the next five years belong to at least five key sectors namely; metals and engineering, general infrastructure, automotive, health, social and community services, land transportation, processed food and beverages and utilities. At the top of the list of highly in-demand skill/occupations are the welders, masons, carpenters, auto mechanics, construction painters, heavy equipment operators, electricians, pipefitters, plumbers, steel workers, scaffolders, tile setters, barangay health workers, caregivers, drivers, and lineman. </w:t>
      </w:r>
    </w:p>
    <w:p w:rsidR="002C17B2" w:rsidRDefault="002C17B2" w:rsidP="004834E6">
      <w:pPr>
        <w:spacing w:after="0" w:line="240" w:lineRule="auto"/>
        <w:jc w:val="both"/>
        <w:rPr>
          <w:rFonts w:cs="Arial"/>
          <w:sz w:val="24"/>
          <w:szCs w:val="24"/>
        </w:rPr>
      </w:pPr>
      <w:r w:rsidRPr="00DF3598">
        <w:rPr>
          <w:rFonts w:cs="Arial"/>
          <w:sz w:val="24"/>
          <w:szCs w:val="24"/>
        </w:rPr>
        <w:t xml:space="preserve"> </w:t>
      </w:r>
    </w:p>
    <w:p w:rsidR="00A759C6" w:rsidRPr="00DF3598" w:rsidRDefault="00A759C6" w:rsidP="004834E6">
      <w:pPr>
        <w:spacing w:after="0" w:line="240" w:lineRule="auto"/>
        <w:jc w:val="both"/>
        <w:rPr>
          <w:rFonts w:cs="Arial"/>
          <w:sz w:val="24"/>
          <w:szCs w:val="24"/>
        </w:rPr>
      </w:pPr>
    </w:p>
    <w:tbl>
      <w:tblPr>
        <w:tblW w:w="9979" w:type="dxa"/>
        <w:tblInd w:w="93" w:type="dxa"/>
        <w:tblLook w:val="04A0" w:firstRow="1" w:lastRow="0" w:firstColumn="1" w:lastColumn="0" w:noHBand="0" w:noVBand="1"/>
      </w:tblPr>
      <w:tblGrid>
        <w:gridCol w:w="3004"/>
        <w:gridCol w:w="791"/>
        <w:gridCol w:w="773"/>
        <w:gridCol w:w="773"/>
        <w:gridCol w:w="773"/>
        <w:gridCol w:w="773"/>
        <w:gridCol w:w="773"/>
        <w:gridCol w:w="773"/>
        <w:gridCol w:w="773"/>
        <w:gridCol w:w="773"/>
      </w:tblGrid>
      <w:tr w:rsidR="002C17B2" w:rsidRPr="00DF3598" w:rsidTr="00A759C6">
        <w:trPr>
          <w:trHeight w:val="225"/>
        </w:trPr>
        <w:tc>
          <w:tcPr>
            <w:tcW w:w="9979" w:type="dxa"/>
            <w:gridSpan w:val="10"/>
            <w:tcBorders>
              <w:top w:val="nil"/>
              <w:left w:val="nil"/>
              <w:bottom w:val="nil"/>
              <w:right w:val="nil"/>
            </w:tcBorders>
            <w:shd w:val="clear" w:color="auto" w:fill="auto"/>
            <w:noWrap/>
            <w:vAlign w:val="bottom"/>
            <w:hideMark/>
          </w:tcPr>
          <w:p w:rsidR="002C17B2" w:rsidRPr="00A759C6" w:rsidRDefault="002C17B2" w:rsidP="00174E3E">
            <w:pPr>
              <w:spacing w:after="0" w:line="240" w:lineRule="auto"/>
              <w:jc w:val="center"/>
              <w:rPr>
                <w:rFonts w:eastAsia="Times New Roman" w:cs="Calibri"/>
                <w:b/>
                <w:color w:val="000000"/>
                <w:sz w:val="24"/>
                <w:szCs w:val="24"/>
              </w:rPr>
            </w:pPr>
            <w:r w:rsidRPr="00A759C6">
              <w:rPr>
                <w:rFonts w:eastAsia="Times New Roman" w:cs="Calibri"/>
                <w:b/>
                <w:color w:val="000000"/>
                <w:sz w:val="24"/>
                <w:szCs w:val="24"/>
              </w:rPr>
              <w:t xml:space="preserve">Table </w:t>
            </w:r>
            <w:r w:rsidR="00174E3E" w:rsidRPr="00A759C6">
              <w:rPr>
                <w:rFonts w:eastAsia="Times New Roman" w:cs="Calibri"/>
                <w:b/>
                <w:color w:val="000000"/>
                <w:sz w:val="24"/>
                <w:szCs w:val="24"/>
              </w:rPr>
              <w:t>1</w:t>
            </w:r>
            <w:r w:rsidRPr="00A759C6">
              <w:rPr>
                <w:rFonts w:eastAsia="Times New Roman" w:cs="Calibri"/>
                <w:b/>
                <w:color w:val="000000"/>
                <w:sz w:val="24"/>
                <w:szCs w:val="24"/>
              </w:rPr>
              <w:t>.  REGIONAL SKILLS PRIORITIES</w:t>
            </w:r>
          </w:p>
        </w:tc>
      </w:tr>
      <w:tr w:rsidR="002C17B2" w:rsidRPr="00174E3E" w:rsidTr="00A759C6">
        <w:trPr>
          <w:trHeight w:val="225"/>
        </w:trPr>
        <w:tc>
          <w:tcPr>
            <w:tcW w:w="3004" w:type="dxa"/>
            <w:tcBorders>
              <w:top w:val="nil"/>
              <w:left w:val="nil"/>
              <w:bottom w:val="nil"/>
              <w:right w:val="nil"/>
            </w:tcBorders>
            <w:shd w:val="clear" w:color="auto" w:fill="auto"/>
            <w:noWrap/>
            <w:vAlign w:val="bottom"/>
            <w:hideMark/>
          </w:tcPr>
          <w:p w:rsidR="002C17B2" w:rsidRPr="00174E3E" w:rsidRDefault="002C17B2" w:rsidP="004834E6">
            <w:pPr>
              <w:spacing w:after="0" w:line="240" w:lineRule="auto"/>
              <w:jc w:val="both"/>
              <w:rPr>
                <w:rFonts w:eastAsia="Times New Roman" w:cs="Calibri"/>
                <w:color w:val="000000"/>
                <w:sz w:val="20"/>
                <w:szCs w:val="20"/>
              </w:rPr>
            </w:pPr>
          </w:p>
        </w:tc>
        <w:tc>
          <w:tcPr>
            <w:tcW w:w="791" w:type="dxa"/>
            <w:tcBorders>
              <w:top w:val="nil"/>
              <w:left w:val="nil"/>
              <w:bottom w:val="nil"/>
              <w:right w:val="nil"/>
            </w:tcBorders>
            <w:shd w:val="clear" w:color="auto" w:fill="auto"/>
            <w:noWrap/>
            <w:vAlign w:val="bottom"/>
            <w:hideMark/>
          </w:tcPr>
          <w:p w:rsidR="002C17B2" w:rsidRPr="00174E3E" w:rsidRDefault="002C17B2" w:rsidP="004834E6">
            <w:pPr>
              <w:spacing w:after="0" w:line="240" w:lineRule="auto"/>
              <w:jc w:val="both"/>
              <w:rPr>
                <w:rFonts w:eastAsia="Times New Roman" w:cs="Calibri"/>
                <w:color w:val="000000"/>
                <w:sz w:val="20"/>
                <w:szCs w:val="20"/>
              </w:rPr>
            </w:pPr>
          </w:p>
        </w:tc>
        <w:tc>
          <w:tcPr>
            <w:tcW w:w="773" w:type="dxa"/>
            <w:tcBorders>
              <w:top w:val="nil"/>
              <w:left w:val="nil"/>
              <w:bottom w:val="nil"/>
              <w:right w:val="nil"/>
            </w:tcBorders>
            <w:shd w:val="clear" w:color="auto" w:fill="auto"/>
            <w:noWrap/>
            <w:vAlign w:val="bottom"/>
            <w:hideMark/>
          </w:tcPr>
          <w:p w:rsidR="002C17B2" w:rsidRPr="00174E3E" w:rsidRDefault="002C17B2" w:rsidP="004834E6">
            <w:pPr>
              <w:spacing w:after="0" w:line="240" w:lineRule="auto"/>
              <w:jc w:val="both"/>
              <w:rPr>
                <w:rFonts w:eastAsia="Times New Roman" w:cs="Calibri"/>
                <w:color w:val="000000"/>
                <w:sz w:val="20"/>
                <w:szCs w:val="20"/>
              </w:rPr>
            </w:pPr>
          </w:p>
        </w:tc>
        <w:tc>
          <w:tcPr>
            <w:tcW w:w="773" w:type="dxa"/>
            <w:tcBorders>
              <w:top w:val="nil"/>
              <w:left w:val="nil"/>
              <w:bottom w:val="nil"/>
              <w:right w:val="nil"/>
            </w:tcBorders>
            <w:shd w:val="clear" w:color="auto" w:fill="auto"/>
            <w:noWrap/>
            <w:vAlign w:val="bottom"/>
            <w:hideMark/>
          </w:tcPr>
          <w:p w:rsidR="002C17B2" w:rsidRPr="00174E3E" w:rsidRDefault="002C17B2" w:rsidP="004834E6">
            <w:pPr>
              <w:spacing w:after="0" w:line="240" w:lineRule="auto"/>
              <w:jc w:val="both"/>
              <w:rPr>
                <w:rFonts w:eastAsia="Times New Roman" w:cs="Calibri"/>
                <w:color w:val="000000"/>
                <w:sz w:val="20"/>
                <w:szCs w:val="20"/>
              </w:rPr>
            </w:pPr>
          </w:p>
        </w:tc>
        <w:tc>
          <w:tcPr>
            <w:tcW w:w="773" w:type="dxa"/>
            <w:tcBorders>
              <w:top w:val="nil"/>
              <w:left w:val="nil"/>
              <w:bottom w:val="nil"/>
              <w:right w:val="nil"/>
            </w:tcBorders>
            <w:shd w:val="clear" w:color="auto" w:fill="auto"/>
            <w:noWrap/>
            <w:vAlign w:val="bottom"/>
            <w:hideMark/>
          </w:tcPr>
          <w:p w:rsidR="002C17B2" w:rsidRPr="00174E3E" w:rsidRDefault="002C17B2" w:rsidP="004834E6">
            <w:pPr>
              <w:spacing w:after="0" w:line="240" w:lineRule="auto"/>
              <w:jc w:val="both"/>
              <w:rPr>
                <w:rFonts w:eastAsia="Times New Roman" w:cs="Calibri"/>
                <w:sz w:val="20"/>
                <w:szCs w:val="20"/>
              </w:rPr>
            </w:pPr>
          </w:p>
        </w:tc>
        <w:tc>
          <w:tcPr>
            <w:tcW w:w="773" w:type="dxa"/>
            <w:tcBorders>
              <w:top w:val="nil"/>
              <w:left w:val="nil"/>
              <w:bottom w:val="nil"/>
              <w:right w:val="nil"/>
            </w:tcBorders>
            <w:shd w:val="clear" w:color="auto" w:fill="auto"/>
            <w:noWrap/>
            <w:vAlign w:val="bottom"/>
            <w:hideMark/>
          </w:tcPr>
          <w:p w:rsidR="002C17B2" w:rsidRPr="00174E3E" w:rsidRDefault="002C17B2" w:rsidP="004834E6">
            <w:pPr>
              <w:spacing w:after="0" w:line="240" w:lineRule="auto"/>
              <w:jc w:val="both"/>
              <w:rPr>
                <w:rFonts w:eastAsia="Times New Roman" w:cs="Calibri"/>
                <w:sz w:val="20"/>
                <w:szCs w:val="20"/>
              </w:rPr>
            </w:pPr>
          </w:p>
        </w:tc>
        <w:tc>
          <w:tcPr>
            <w:tcW w:w="773" w:type="dxa"/>
            <w:tcBorders>
              <w:top w:val="nil"/>
              <w:left w:val="nil"/>
              <w:bottom w:val="nil"/>
              <w:right w:val="nil"/>
            </w:tcBorders>
            <w:shd w:val="clear" w:color="auto" w:fill="auto"/>
            <w:noWrap/>
            <w:vAlign w:val="bottom"/>
            <w:hideMark/>
          </w:tcPr>
          <w:p w:rsidR="002C17B2" w:rsidRPr="00174E3E" w:rsidRDefault="002C17B2" w:rsidP="004834E6">
            <w:pPr>
              <w:spacing w:after="0" w:line="240" w:lineRule="auto"/>
              <w:jc w:val="both"/>
              <w:rPr>
                <w:rFonts w:eastAsia="Times New Roman" w:cs="Calibri"/>
                <w:sz w:val="20"/>
                <w:szCs w:val="20"/>
              </w:rPr>
            </w:pPr>
          </w:p>
        </w:tc>
        <w:tc>
          <w:tcPr>
            <w:tcW w:w="773" w:type="dxa"/>
            <w:tcBorders>
              <w:top w:val="nil"/>
              <w:left w:val="nil"/>
              <w:bottom w:val="nil"/>
              <w:right w:val="nil"/>
            </w:tcBorders>
            <w:shd w:val="clear" w:color="auto" w:fill="auto"/>
            <w:noWrap/>
            <w:vAlign w:val="bottom"/>
            <w:hideMark/>
          </w:tcPr>
          <w:p w:rsidR="002C17B2" w:rsidRPr="00174E3E" w:rsidRDefault="002C17B2" w:rsidP="004834E6">
            <w:pPr>
              <w:spacing w:after="0" w:line="240" w:lineRule="auto"/>
              <w:jc w:val="both"/>
              <w:rPr>
                <w:rFonts w:eastAsia="Times New Roman" w:cs="Calibri"/>
                <w:color w:val="000000"/>
                <w:sz w:val="20"/>
                <w:szCs w:val="20"/>
              </w:rPr>
            </w:pPr>
          </w:p>
        </w:tc>
        <w:tc>
          <w:tcPr>
            <w:tcW w:w="773" w:type="dxa"/>
            <w:tcBorders>
              <w:top w:val="nil"/>
              <w:left w:val="nil"/>
              <w:bottom w:val="nil"/>
              <w:right w:val="nil"/>
            </w:tcBorders>
            <w:shd w:val="clear" w:color="auto" w:fill="auto"/>
            <w:noWrap/>
            <w:vAlign w:val="bottom"/>
            <w:hideMark/>
          </w:tcPr>
          <w:p w:rsidR="002C17B2" w:rsidRPr="00174E3E" w:rsidRDefault="002C17B2" w:rsidP="004834E6">
            <w:pPr>
              <w:spacing w:after="0" w:line="240" w:lineRule="auto"/>
              <w:jc w:val="both"/>
              <w:rPr>
                <w:rFonts w:eastAsia="Times New Roman" w:cs="Calibri"/>
                <w:color w:val="000000"/>
                <w:sz w:val="20"/>
                <w:szCs w:val="20"/>
              </w:rPr>
            </w:pPr>
          </w:p>
        </w:tc>
        <w:tc>
          <w:tcPr>
            <w:tcW w:w="773" w:type="dxa"/>
            <w:tcBorders>
              <w:top w:val="nil"/>
              <w:left w:val="nil"/>
              <w:bottom w:val="nil"/>
              <w:right w:val="nil"/>
            </w:tcBorders>
            <w:shd w:val="clear" w:color="auto" w:fill="auto"/>
            <w:noWrap/>
            <w:vAlign w:val="bottom"/>
            <w:hideMark/>
          </w:tcPr>
          <w:p w:rsidR="002C17B2" w:rsidRPr="00174E3E" w:rsidRDefault="002C17B2" w:rsidP="004834E6">
            <w:pPr>
              <w:spacing w:after="0" w:line="240" w:lineRule="auto"/>
              <w:jc w:val="both"/>
              <w:rPr>
                <w:rFonts w:eastAsia="Times New Roman" w:cs="Calibri"/>
                <w:color w:val="000000"/>
                <w:sz w:val="20"/>
                <w:szCs w:val="20"/>
              </w:rPr>
            </w:pPr>
          </w:p>
        </w:tc>
      </w:tr>
      <w:tr w:rsidR="002C17B2" w:rsidRPr="00174E3E" w:rsidTr="00A759C6">
        <w:trPr>
          <w:trHeight w:val="585"/>
        </w:trPr>
        <w:tc>
          <w:tcPr>
            <w:tcW w:w="30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17B2" w:rsidRPr="00174E3E" w:rsidRDefault="002C17B2" w:rsidP="00174E3E">
            <w:pPr>
              <w:spacing w:after="0" w:line="240" w:lineRule="auto"/>
              <w:jc w:val="center"/>
              <w:rPr>
                <w:rFonts w:eastAsia="Times New Roman" w:cs="Calibri"/>
                <w:color w:val="000000"/>
                <w:sz w:val="20"/>
                <w:szCs w:val="20"/>
              </w:rPr>
            </w:pPr>
            <w:r w:rsidRPr="00174E3E">
              <w:rPr>
                <w:rFonts w:eastAsia="Times New Roman" w:cs="Calibri"/>
                <w:color w:val="000000"/>
                <w:sz w:val="20"/>
                <w:szCs w:val="20"/>
              </w:rPr>
              <w:t>Priority Sector Skills</w:t>
            </w:r>
          </w:p>
        </w:tc>
        <w:tc>
          <w:tcPr>
            <w:tcW w:w="2337" w:type="dxa"/>
            <w:gridSpan w:val="3"/>
            <w:tcBorders>
              <w:top w:val="single" w:sz="4" w:space="0" w:color="auto"/>
              <w:left w:val="nil"/>
              <w:bottom w:val="single" w:sz="4" w:space="0" w:color="auto"/>
              <w:right w:val="single" w:sz="4" w:space="0" w:color="auto"/>
            </w:tcBorders>
            <w:shd w:val="clear" w:color="auto" w:fill="auto"/>
            <w:vAlign w:val="center"/>
            <w:hideMark/>
          </w:tcPr>
          <w:p w:rsidR="002C17B2" w:rsidRPr="00174E3E" w:rsidRDefault="002C17B2" w:rsidP="00174E3E">
            <w:pPr>
              <w:spacing w:after="0" w:line="240" w:lineRule="auto"/>
              <w:jc w:val="center"/>
              <w:rPr>
                <w:rFonts w:eastAsia="Times New Roman" w:cs="Calibri"/>
                <w:color w:val="000000"/>
                <w:sz w:val="20"/>
                <w:szCs w:val="20"/>
              </w:rPr>
            </w:pPr>
            <w:r w:rsidRPr="00174E3E">
              <w:rPr>
                <w:rFonts w:eastAsia="Times New Roman" w:cs="Calibri"/>
                <w:color w:val="000000"/>
                <w:sz w:val="20"/>
                <w:szCs w:val="20"/>
              </w:rPr>
              <w:t>Demand</w:t>
            </w:r>
          </w:p>
        </w:tc>
        <w:tc>
          <w:tcPr>
            <w:tcW w:w="2319" w:type="dxa"/>
            <w:gridSpan w:val="3"/>
            <w:tcBorders>
              <w:top w:val="single" w:sz="4" w:space="0" w:color="auto"/>
              <w:left w:val="nil"/>
              <w:bottom w:val="single" w:sz="4" w:space="0" w:color="auto"/>
              <w:right w:val="single" w:sz="4" w:space="0" w:color="auto"/>
            </w:tcBorders>
            <w:shd w:val="clear" w:color="auto" w:fill="auto"/>
            <w:vAlign w:val="center"/>
            <w:hideMark/>
          </w:tcPr>
          <w:p w:rsidR="002C17B2" w:rsidRPr="00174E3E" w:rsidRDefault="002C17B2" w:rsidP="00174E3E">
            <w:pPr>
              <w:spacing w:after="0" w:line="240" w:lineRule="auto"/>
              <w:jc w:val="center"/>
              <w:rPr>
                <w:rFonts w:eastAsia="Times New Roman" w:cs="Calibri"/>
                <w:color w:val="000000"/>
                <w:sz w:val="20"/>
                <w:szCs w:val="20"/>
              </w:rPr>
            </w:pPr>
            <w:r w:rsidRPr="00174E3E">
              <w:rPr>
                <w:rFonts w:eastAsia="Times New Roman" w:cs="Calibri"/>
                <w:color w:val="000000"/>
                <w:sz w:val="20"/>
                <w:szCs w:val="20"/>
              </w:rPr>
              <w:t>Supply</w:t>
            </w:r>
          </w:p>
        </w:tc>
        <w:tc>
          <w:tcPr>
            <w:tcW w:w="2319" w:type="dxa"/>
            <w:gridSpan w:val="3"/>
            <w:tcBorders>
              <w:top w:val="single" w:sz="4" w:space="0" w:color="auto"/>
              <w:left w:val="nil"/>
              <w:bottom w:val="single" w:sz="4" w:space="0" w:color="auto"/>
              <w:right w:val="single" w:sz="4" w:space="0" w:color="auto"/>
            </w:tcBorders>
            <w:shd w:val="clear" w:color="auto" w:fill="auto"/>
            <w:vAlign w:val="center"/>
            <w:hideMark/>
          </w:tcPr>
          <w:p w:rsidR="002C17B2" w:rsidRPr="00174E3E" w:rsidRDefault="002C17B2" w:rsidP="00174E3E">
            <w:pPr>
              <w:spacing w:after="0" w:line="240" w:lineRule="auto"/>
              <w:jc w:val="center"/>
              <w:rPr>
                <w:rFonts w:eastAsia="Times New Roman" w:cs="Calibri"/>
                <w:color w:val="000000"/>
                <w:sz w:val="20"/>
                <w:szCs w:val="20"/>
              </w:rPr>
            </w:pPr>
            <w:r w:rsidRPr="00174E3E">
              <w:rPr>
                <w:rFonts w:eastAsia="Times New Roman" w:cs="Calibri"/>
                <w:color w:val="000000"/>
                <w:sz w:val="20"/>
                <w:szCs w:val="20"/>
              </w:rPr>
              <w:t>Shortage/Oversupply (D-S)</w:t>
            </w:r>
          </w:p>
        </w:tc>
      </w:tr>
      <w:tr w:rsidR="002C17B2" w:rsidRPr="00174E3E" w:rsidTr="00A759C6">
        <w:trPr>
          <w:trHeight w:val="225"/>
        </w:trPr>
        <w:tc>
          <w:tcPr>
            <w:tcW w:w="3004" w:type="dxa"/>
            <w:vMerge/>
            <w:tcBorders>
              <w:top w:val="single" w:sz="4" w:space="0" w:color="auto"/>
              <w:left w:val="single" w:sz="4" w:space="0" w:color="auto"/>
              <w:bottom w:val="single" w:sz="4" w:space="0" w:color="auto"/>
              <w:right w:val="single" w:sz="4" w:space="0" w:color="auto"/>
            </w:tcBorders>
            <w:vAlign w:val="center"/>
            <w:hideMark/>
          </w:tcPr>
          <w:p w:rsidR="002C17B2" w:rsidRPr="00174E3E" w:rsidRDefault="002C17B2" w:rsidP="004834E6">
            <w:pPr>
              <w:spacing w:after="0" w:line="240" w:lineRule="auto"/>
              <w:jc w:val="both"/>
              <w:rPr>
                <w:rFonts w:eastAsia="Times New Roman" w:cs="Calibri"/>
                <w:color w:val="000000"/>
                <w:sz w:val="20"/>
                <w:szCs w:val="20"/>
              </w:rPr>
            </w:pPr>
          </w:p>
        </w:tc>
        <w:tc>
          <w:tcPr>
            <w:tcW w:w="791"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2017</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2018</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2019</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2017</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2018</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2019</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2020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2021</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2022</w:t>
            </w:r>
          </w:p>
        </w:tc>
      </w:tr>
      <w:tr w:rsidR="002C17B2" w:rsidRPr="00174E3E" w:rsidTr="00A759C6">
        <w:trPr>
          <w:trHeight w:val="225"/>
        </w:trPr>
        <w:tc>
          <w:tcPr>
            <w:tcW w:w="3004" w:type="dxa"/>
            <w:tcBorders>
              <w:top w:val="nil"/>
              <w:left w:val="single" w:sz="4" w:space="0" w:color="auto"/>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b/>
                <w:bCs/>
                <w:color w:val="000000"/>
                <w:sz w:val="20"/>
                <w:szCs w:val="20"/>
              </w:rPr>
            </w:pPr>
            <w:r w:rsidRPr="00174E3E">
              <w:rPr>
                <w:rFonts w:eastAsia="Times New Roman" w:cs="Calibri"/>
                <w:b/>
                <w:bCs/>
                <w:color w:val="000000"/>
                <w:sz w:val="20"/>
                <w:szCs w:val="20"/>
              </w:rPr>
              <w:t>Agri-Fishery</w:t>
            </w:r>
          </w:p>
        </w:tc>
        <w:tc>
          <w:tcPr>
            <w:tcW w:w="791"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r>
      <w:tr w:rsidR="002C17B2" w:rsidRPr="00174E3E" w:rsidTr="00A759C6">
        <w:trPr>
          <w:trHeight w:val="315"/>
        </w:trPr>
        <w:tc>
          <w:tcPr>
            <w:tcW w:w="3004" w:type="dxa"/>
            <w:tcBorders>
              <w:top w:val="nil"/>
              <w:left w:val="single" w:sz="4" w:space="0" w:color="auto"/>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Agricultural Crops Production</w:t>
            </w:r>
          </w:p>
        </w:tc>
        <w:tc>
          <w:tcPr>
            <w:tcW w:w="791"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500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500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500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233</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150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150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267</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350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350</w:t>
            </w:r>
          </w:p>
        </w:tc>
      </w:tr>
      <w:tr w:rsidR="002C17B2" w:rsidRPr="00174E3E" w:rsidTr="00A759C6">
        <w:trPr>
          <w:trHeight w:val="300"/>
        </w:trPr>
        <w:tc>
          <w:tcPr>
            <w:tcW w:w="3004" w:type="dxa"/>
            <w:tcBorders>
              <w:top w:val="nil"/>
              <w:left w:val="single" w:sz="4" w:space="0" w:color="auto"/>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Animal by-Product Processing</w:t>
            </w:r>
          </w:p>
        </w:tc>
        <w:tc>
          <w:tcPr>
            <w:tcW w:w="791"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165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165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170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50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100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165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115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70</w:t>
            </w:r>
          </w:p>
        </w:tc>
      </w:tr>
      <w:tr w:rsidR="002C17B2" w:rsidRPr="00174E3E" w:rsidTr="00A759C6">
        <w:trPr>
          <w:trHeight w:val="225"/>
        </w:trPr>
        <w:tc>
          <w:tcPr>
            <w:tcW w:w="3004" w:type="dxa"/>
            <w:tcBorders>
              <w:top w:val="nil"/>
              <w:left w:val="single" w:sz="4" w:space="0" w:color="auto"/>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Animal Production</w:t>
            </w:r>
          </w:p>
        </w:tc>
        <w:tc>
          <w:tcPr>
            <w:tcW w:w="791"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168</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169</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168</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91</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250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250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77</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-81</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-82</w:t>
            </w:r>
          </w:p>
        </w:tc>
      </w:tr>
      <w:tr w:rsidR="002C17B2" w:rsidRPr="00174E3E" w:rsidTr="00A759C6">
        <w:trPr>
          <w:trHeight w:val="225"/>
        </w:trPr>
        <w:tc>
          <w:tcPr>
            <w:tcW w:w="3004" w:type="dxa"/>
            <w:tcBorders>
              <w:top w:val="nil"/>
              <w:left w:val="single" w:sz="4" w:space="0" w:color="auto"/>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Aquaculture</w:t>
            </w:r>
          </w:p>
        </w:tc>
        <w:tc>
          <w:tcPr>
            <w:tcW w:w="791"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165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165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170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76</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25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50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89</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140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120</w:t>
            </w:r>
          </w:p>
        </w:tc>
      </w:tr>
      <w:tr w:rsidR="002C17B2" w:rsidRPr="00174E3E" w:rsidTr="00A759C6">
        <w:trPr>
          <w:trHeight w:val="330"/>
        </w:trPr>
        <w:tc>
          <w:tcPr>
            <w:tcW w:w="3004" w:type="dxa"/>
            <w:tcBorders>
              <w:top w:val="nil"/>
              <w:left w:val="single" w:sz="4" w:space="0" w:color="auto"/>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Bamboo Handicraft Processing</w:t>
            </w:r>
          </w:p>
        </w:tc>
        <w:tc>
          <w:tcPr>
            <w:tcW w:w="791"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367</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367</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366</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100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150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367</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267</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216</w:t>
            </w:r>
          </w:p>
        </w:tc>
      </w:tr>
      <w:tr w:rsidR="002C17B2" w:rsidRPr="00174E3E" w:rsidTr="00A759C6">
        <w:trPr>
          <w:trHeight w:val="225"/>
        </w:trPr>
        <w:tc>
          <w:tcPr>
            <w:tcW w:w="3004" w:type="dxa"/>
            <w:tcBorders>
              <w:top w:val="nil"/>
              <w:left w:val="single" w:sz="4" w:space="0" w:color="auto"/>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Bamboo Processing</w:t>
            </w:r>
          </w:p>
        </w:tc>
        <w:tc>
          <w:tcPr>
            <w:tcW w:w="791"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33</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33</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34</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50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75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33</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-17</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-41</w:t>
            </w:r>
          </w:p>
        </w:tc>
      </w:tr>
      <w:tr w:rsidR="002C17B2" w:rsidRPr="00174E3E" w:rsidTr="00A759C6">
        <w:trPr>
          <w:trHeight w:val="285"/>
        </w:trPr>
        <w:tc>
          <w:tcPr>
            <w:tcW w:w="3004" w:type="dxa"/>
            <w:tcBorders>
              <w:top w:val="nil"/>
              <w:left w:val="single" w:sz="4" w:space="0" w:color="auto"/>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Bamboo Production</w:t>
            </w:r>
          </w:p>
        </w:tc>
        <w:tc>
          <w:tcPr>
            <w:tcW w:w="791"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177</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178</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175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50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75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177</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128</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100</w:t>
            </w:r>
          </w:p>
        </w:tc>
      </w:tr>
      <w:tr w:rsidR="002C17B2" w:rsidRPr="00174E3E" w:rsidTr="00A759C6">
        <w:trPr>
          <w:trHeight w:val="225"/>
        </w:trPr>
        <w:tc>
          <w:tcPr>
            <w:tcW w:w="3004" w:type="dxa"/>
            <w:tcBorders>
              <w:top w:val="nil"/>
              <w:left w:val="single" w:sz="4" w:space="0" w:color="auto"/>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Banana Production</w:t>
            </w:r>
          </w:p>
        </w:tc>
        <w:tc>
          <w:tcPr>
            <w:tcW w:w="791"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132</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133</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135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50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50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132</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83</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85</w:t>
            </w:r>
          </w:p>
        </w:tc>
      </w:tr>
      <w:tr w:rsidR="002C17B2" w:rsidRPr="00174E3E" w:rsidTr="00A759C6">
        <w:trPr>
          <w:trHeight w:val="225"/>
        </w:trPr>
        <w:tc>
          <w:tcPr>
            <w:tcW w:w="3004" w:type="dxa"/>
            <w:tcBorders>
              <w:top w:val="nil"/>
              <w:left w:val="single" w:sz="4" w:space="0" w:color="auto"/>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Cacao Production</w:t>
            </w:r>
          </w:p>
        </w:tc>
        <w:tc>
          <w:tcPr>
            <w:tcW w:w="791"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835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835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830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50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100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835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785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730</w:t>
            </w:r>
          </w:p>
        </w:tc>
      </w:tr>
      <w:tr w:rsidR="002C17B2" w:rsidRPr="00174E3E" w:rsidTr="00A759C6">
        <w:trPr>
          <w:trHeight w:val="225"/>
        </w:trPr>
        <w:tc>
          <w:tcPr>
            <w:tcW w:w="3004" w:type="dxa"/>
            <w:tcBorders>
              <w:top w:val="nil"/>
              <w:left w:val="single" w:sz="4" w:space="0" w:color="auto"/>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Calamansi Production</w:t>
            </w:r>
          </w:p>
        </w:tc>
        <w:tc>
          <w:tcPr>
            <w:tcW w:w="791"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117</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117</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116</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50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100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117</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67</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16</w:t>
            </w:r>
          </w:p>
        </w:tc>
      </w:tr>
      <w:tr w:rsidR="002C17B2" w:rsidRPr="00174E3E" w:rsidTr="00A759C6">
        <w:trPr>
          <w:trHeight w:val="225"/>
        </w:trPr>
        <w:tc>
          <w:tcPr>
            <w:tcW w:w="3004" w:type="dxa"/>
            <w:tcBorders>
              <w:top w:val="nil"/>
              <w:left w:val="single" w:sz="4" w:space="0" w:color="auto"/>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Coffee Production</w:t>
            </w:r>
          </w:p>
        </w:tc>
        <w:tc>
          <w:tcPr>
            <w:tcW w:w="791"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835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835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830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50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100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835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785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730</w:t>
            </w:r>
          </w:p>
        </w:tc>
      </w:tr>
      <w:tr w:rsidR="002C17B2" w:rsidRPr="00174E3E" w:rsidTr="00A759C6">
        <w:trPr>
          <w:trHeight w:val="225"/>
        </w:trPr>
        <w:tc>
          <w:tcPr>
            <w:tcW w:w="3004" w:type="dxa"/>
            <w:tcBorders>
              <w:top w:val="nil"/>
              <w:left w:val="single" w:sz="4" w:space="0" w:color="auto"/>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Cutflower Production</w:t>
            </w:r>
          </w:p>
        </w:tc>
        <w:tc>
          <w:tcPr>
            <w:tcW w:w="791"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297</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301</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302</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50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75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297</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251</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227</w:t>
            </w:r>
          </w:p>
        </w:tc>
      </w:tr>
      <w:tr w:rsidR="002C17B2" w:rsidRPr="00174E3E" w:rsidTr="00A759C6">
        <w:trPr>
          <w:trHeight w:val="225"/>
        </w:trPr>
        <w:tc>
          <w:tcPr>
            <w:tcW w:w="3004" w:type="dxa"/>
            <w:tcBorders>
              <w:top w:val="nil"/>
              <w:left w:val="single" w:sz="4" w:space="0" w:color="auto"/>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Dragon Fruit Production</w:t>
            </w:r>
          </w:p>
        </w:tc>
        <w:tc>
          <w:tcPr>
            <w:tcW w:w="791"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600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600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600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100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200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600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500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400</w:t>
            </w:r>
          </w:p>
        </w:tc>
      </w:tr>
      <w:tr w:rsidR="002C17B2" w:rsidRPr="00174E3E" w:rsidTr="00A759C6">
        <w:trPr>
          <w:trHeight w:val="225"/>
        </w:trPr>
        <w:tc>
          <w:tcPr>
            <w:tcW w:w="3004" w:type="dxa"/>
            <w:tcBorders>
              <w:top w:val="nil"/>
              <w:left w:val="single" w:sz="4" w:space="0" w:color="auto"/>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xml:space="preserve">Dragon Fruit Stem Propagation </w:t>
            </w:r>
          </w:p>
        </w:tc>
        <w:tc>
          <w:tcPr>
            <w:tcW w:w="791"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600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600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600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100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200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600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500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400</w:t>
            </w:r>
          </w:p>
        </w:tc>
      </w:tr>
      <w:tr w:rsidR="002C17B2" w:rsidRPr="00174E3E" w:rsidTr="00A759C6">
        <w:trPr>
          <w:trHeight w:val="225"/>
        </w:trPr>
        <w:tc>
          <w:tcPr>
            <w:tcW w:w="3004" w:type="dxa"/>
            <w:tcBorders>
              <w:top w:val="nil"/>
              <w:left w:val="single" w:sz="4" w:space="0" w:color="auto"/>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Farm Equipment Mechanic</w:t>
            </w:r>
          </w:p>
        </w:tc>
        <w:tc>
          <w:tcPr>
            <w:tcW w:w="791"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165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165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170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50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50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165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115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120</w:t>
            </w:r>
          </w:p>
        </w:tc>
      </w:tr>
      <w:tr w:rsidR="002C17B2" w:rsidRPr="00174E3E" w:rsidTr="00A759C6">
        <w:trPr>
          <w:trHeight w:val="225"/>
        </w:trPr>
        <w:tc>
          <w:tcPr>
            <w:tcW w:w="3004" w:type="dxa"/>
            <w:tcBorders>
              <w:top w:val="nil"/>
              <w:left w:val="single" w:sz="4" w:space="0" w:color="auto"/>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Horticulture</w:t>
            </w:r>
          </w:p>
        </w:tc>
        <w:tc>
          <w:tcPr>
            <w:tcW w:w="791"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330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335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335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100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150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330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235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185</w:t>
            </w:r>
          </w:p>
        </w:tc>
      </w:tr>
      <w:tr w:rsidR="002C17B2" w:rsidRPr="00174E3E" w:rsidTr="00A759C6">
        <w:trPr>
          <w:trHeight w:val="225"/>
        </w:trPr>
        <w:tc>
          <w:tcPr>
            <w:tcW w:w="3004" w:type="dxa"/>
            <w:tcBorders>
              <w:top w:val="nil"/>
              <w:left w:val="single" w:sz="4" w:space="0" w:color="auto"/>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Integrated Farm Operation</w:t>
            </w:r>
          </w:p>
        </w:tc>
        <w:tc>
          <w:tcPr>
            <w:tcW w:w="791"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165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165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170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50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75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165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115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95</w:t>
            </w:r>
          </w:p>
        </w:tc>
      </w:tr>
      <w:tr w:rsidR="002C17B2" w:rsidRPr="00174E3E" w:rsidTr="00A759C6">
        <w:trPr>
          <w:trHeight w:val="300"/>
        </w:trPr>
        <w:tc>
          <w:tcPr>
            <w:tcW w:w="3004" w:type="dxa"/>
            <w:tcBorders>
              <w:top w:val="nil"/>
              <w:left w:val="single" w:sz="4" w:space="0" w:color="auto"/>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Landscape Installation and Maintenance NCII</w:t>
            </w:r>
          </w:p>
        </w:tc>
        <w:tc>
          <w:tcPr>
            <w:tcW w:w="791"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835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835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830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50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75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835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785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755</w:t>
            </w:r>
          </w:p>
        </w:tc>
      </w:tr>
      <w:tr w:rsidR="002C17B2" w:rsidRPr="00174E3E" w:rsidTr="00A759C6">
        <w:trPr>
          <w:trHeight w:val="225"/>
        </w:trPr>
        <w:tc>
          <w:tcPr>
            <w:tcW w:w="3004" w:type="dxa"/>
            <w:tcBorders>
              <w:top w:val="nil"/>
              <w:left w:val="single" w:sz="4" w:space="0" w:color="auto"/>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Mangosteen Production</w:t>
            </w:r>
          </w:p>
        </w:tc>
        <w:tc>
          <w:tcPr>
            <w:tcW w:w="791"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167</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167</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166</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50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100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167</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117</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66</w:t>
            </w:r>
          </w:p>
        </w:tc>
      </w:tr>
      <w:tr w:rsidR="002C17B2" w:rsidRPr="00174E3E" w:rsidTr="00A759C6">
        <w:trPr>
          <w:trHeight w:val="225"/>
        </w:trPr>
        <w:tc>
          <w:tcPr>
            <w:tcW w:w="3004" w:type="dxa"/>
            <w:tcBorders>
              <w:top w:val="nil"/>
              <w:left w:val="single" w:sz="4" w:space="0" w:color="auto"/>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xml:space="preserve">Organic Fertilizer Production </w:t>
            </w:r>
          </w:p>
        </w:tc>
        <w:tc>
          <w:tcPr>
            <w:tcW w:w="791"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634</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634</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632</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50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50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634</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584</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582</w:t>
            </w:r>
          </w:p>
        </w:tc>
      </w:tr>
      <w:tr w:rsidR="002C17B2" w:rsidRPr="00174E3E" w:rsidTr="00A759C6">
        <w:trPr>
          <w:trHeight w:val="225"/>
        </w:trPr>
        <w:tc>
          <w:tcPr>
            <w:tcW w:w="3004" w:type="dxa"/>
            <w:tcBorders>
              <w:top w:val="nil"/>
              <w:left w:val="single" w:sz="4" w:space="0" w:color="auto"/>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xml:space="preserve">Rubber Processing </w:t>
            </w:r>
          </w:p>
        </w:tc>
        <w:tc>
          <w:tcPr>
            <w:tcW w:w="791"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333</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333</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334</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150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200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333</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183</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134</w:t>
            </w:r>
          </w:p>
        </w:tc>
      </w:tr>
      <w:tr w:rsidR="002C17B2" w:rsidRPr="00174E3E" w:rsidTr="00A759C6">
        <w:trPr>
          <w:trHeight w:val="225"/>
        </w:trPr>
        <w:tc>
          <w:tcPr>
            <w:tcW w:w="3004" w:type="dxa"/>
            <w:tcBorders>
              <w:top w:val="nil"/>
              <w:left w:val="single" w:sz="4" w:space="0" w:color="auto"/>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xml:space="preserve">Rubber Production </w:t>
            </w:r>
          </w:p>
        </w:tc>
        <w:tc>
          <w:tcPr>
            <w:tcW w:w="791"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117</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117</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116</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50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100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117</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67</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16</w:t>
            </w:r>
          </w:p>
        </w:tc>
      </w:tr>
      <w:tr w:rsidR="002C17B2" w:rsidRPr="00174E3E" w:rsidTr="00A759C6">
        <w:trPr>
          <w:trHeight w:val="225"/>
        </w:trPr>
        <w:tc>
          <w:tcPr>
            <w:tcW w:w="3004" w:type="dxa"/>
            <w:tcBorders>
              <w:top w:val="nil"/>
              <w:left w:val="single" w:sz="4" w:space="0" w:color="auto"/>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Serpentina / Stevia Production</w:t>
            </w:r>
          </w:p>
        </w:tc>
        <w:tc>
          <w:tcPr>
            <w:tcW w:w="791"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165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165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170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100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150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165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65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20</w:t>
            </w:r>
          </w:p>
        </w:tc>
      </w:tr>
      <w:tr w:rsidR="002C17B2" w:rsidRPr="00174E3E" w:rsidTr="00A759C6">
        <w:trPr>
          <w:trHeight w:val="225"/>
        </w:trPr>
        <w:tc>
          <w:tcPr>
            <w:tcW w:w="3004" w:type="dxa"/>
            <w:tcBorders>
              <w:top w:val="nil"/>
              <w:left w:val="single" w:sz="4" w:space="0" w:color="auto"/>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Turmeric Production</w:t>
            </w:r>
          </w:p>
        </w:tc>
        <w:tc>
          <w:tcPr>
            <w:tcW w:w="791"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330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335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335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100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200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330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235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135</w:t>
            </w:r>
          </w:p>
        </w:tc>
      </w:tr>
      <w:tr w:rsidR="002C17B2" w:rsidRPr="00174E3E" w:rsidTr="00A759C6">
        <w:trPr>
          <w:trHeight w:val="225"/>
        </w:trPr>
        <w:tc>
          <w:tcPr>
            <w:tcW w:w="3004" w:type="dxa"/>
            <w:tcBorders>
              <w:top w:val="nil"/>
              <w:left w:val="single" w:sz="4" w:space="0" w:color="auto"/>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91"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r>
      <w:tr w:rsidR="002C17B2" w:rsidRPr="00174E3E" w:rsidTr="00A759C6">
        <w:trPr>
          <w:trHeight w:val="225"/>
        </w:trPr>
        <w:tc>
          <w:tcPr>
            <w:tcW w:w="3004" w:type="dxa"/>
            <w:tcBorders>
              <w:top w:val="nil"/>
              <w:left w:val="single" w:sz="4" w:space="0" w:color="auto"/>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b/>
                <w:bCs/>
                <w:color w:val="000000"/>
                <w:sz w:val="20"/>
                <w:szCs w:val="20"/>
              </w:rPr>
            </w:pPr>
            <w:r w:rsidRPr="00174E3E">
              <w:rPr>
                <w:rFonts w:eastAsia="Times New Roman" w:cs="Calibri"/>
                <w:b/>
                <w:bCs/>
                <w:color w:val="000000"/>
                <w:sz w:val="20"/>
                <w:szCs w:val="20"/>
              </w:rPr>
              <w:t xml:space="preserve">Automotive </w:t>
            </w:r>
          </w:p>
        </w:tc>
        <w:tc>
          <w:tcPr>
            <w:tcW w:w="791"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r>
      <w:tr w:rsidR="002C17B2" w:rsidRPr="00174E3E" w:rsidTr="00A759C6">
        <w:trPr>
          <w:trHeight w:val="225"/>
        </w:trPr>
        <w:tc>
          <w:tcPr>
            <w:tcW w:w="3004" w:type="dxa"/>
            <w:tcBorders>
              <w:top w:val="nil"/>
              <w:left w:val="single" w:sz="4" w:space="0" w:color="auto"/>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Auto Body Painting/Finishing</w:t>
            </w:r>
          </w:p>
        </w:tc>
        <w:tc>
          <w:tcPr>
            <w:tcW w:w="791"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264</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267</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269</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50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175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264</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217</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94</w:t>
            </w:r>
          </w:p>
        </w:tc>
      </w:tr>
      <w:tr w:rsidR="002C17B2" w:rsidRPr="00174E3E" w:rsidTr="00A759C6">
        <w:trPr>
          <w:trHeight w:val="225"/>
        </w:trPr>
        <w:tc>
          <w:tcPr>
            <w:tcW w:w="3004" w:type="dxa"/>
            <w:tcBorders>
              <w:top w:val="nil"/>
              <w:left w:val="single" w:sz="4" w:space="0" w:color="auto"/>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Auto Electricity</w:t>
            </w:r>
          </w:p>
        </w:tc>
        <w:tc>
          <w:tcPr>
            <w:tcW w:w="791"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144</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145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146</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9</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50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175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135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95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-29</w:t>
            </w:r>
          </w:p>
        </w:tc>
      </w:tr>
      <w:tr w:rsidR="002C17B2" w:rsidRPr="00174E3E" w:rsidTr="00A759C6">
        <w:trPr>
          <w:trHeight w:val="225"/>
        </w:trPr>
        <w:tc>
          <w:tcPr>
            <w:tcW w:w="3004" w:type="dxa"/>
            <w:tcBorders>
              <w:top w:val="nil"/>
              <w:left w:val="single" w:sz="4" w:space="0" w:color="auto"/>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xml:space="preserve">Automotive Servicing </w:t>
            </w:r>
          </w:p>
        </w:tc>
        <w:tc>
          <w:tcPr>
            <w:tcW w:w="791"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1333</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1333</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1334</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2014</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2000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1500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-681</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-667</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-166</w:t>
            </w:r>
          </w:p>
        </w:tc>
      </w:tr>
      <w:tr w:rsidR="002C17B2" w:rsidRPr="00174E3E" w:rsidTr="00A759C6">
        <w:trPr>
          <w:trHeight w:val="225"/>
        </w:trPr>
        <w:tc>
          <w:tcPr>
            <w:tcW w:w="3004" w:type="dxa"/>
            <w:tcBorders>
              <w:top w:val="nil"/>
              <w:left w:val="single" w:sz="4" w:space="0" w:color="auto"/>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Engine Tune-up Servicing</w:t>
            </w:r>
          </w:p>
        </w:tc>
        <w:tc>
          <w:tcPr>
            <w:tcW w:w="791"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330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335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335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184</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50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75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146</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285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260</w:t>
            </w:r>
          </w:p>
        </w:tc>
      </w:tr>
      <w:tr w:rsidR="002C17B2" w:rsidRPr="00174E3E" w:rsidTr="00A759C6">
        <w:trPr>
          <w:trHeight w:val="225"/>
        </w:trPr>
        <w:tc>
          <w:tcPr>
            <w:tcW w:w="3004" w:type="dxa"/>
            <w:tcBorders>
              <w:top w:val="nil"/>
              <w:left w:val="single" w:sz="4" w:space="0" w:color="auto"/>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Motorcycle/Small Engine Servicing</w:t>
            </w:r>
          </w:p>
        </w:tc>
        <w:tc>
          <w:tcPr>
            <w:tcW w:w="791"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432</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434</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434</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400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857</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400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32</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-423</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34</w:t>
            </w:r>
          </w:p>
        </w:tc>
      </w:tr>
      <w:tr w:rsidR="002C17B2" w:rsidRPr="00174E3E" w:rsidTr="00A759C6">
        <w:trPr>
          <w:trHeight w:val="225"/>
        </w:trPr>
        <w:tc>
          <w:tcPr>
            <w:tcW w:w="3004" w:type="dxa"/>
            <w:tcBorders>
              <w:top w:val="nil"/>
              <w:left w:val="single" w:sz="4" w:space="0" w:color="auto"/>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Underchassis Servicing</w:t>
            </w:r>
          </w:p>
        </w:tc>
        <w:tc>
          <w:tcPr>
            <w:tcW w:w="791"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132</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133</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135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116</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75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150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16</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58</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-15</w:t>
            </w:r>
          </w:p>
        </w:tc>
      </w:tr>
      <w:tr w:rsidR="002C17B2" w:rsidRPr="00174E3E" w:rsidTr="00A759C6">
        <w:trPr>
          <w:trHeight w:val="225"/>
        </w:trPr>
        <w:tc>
          <w:tcPr>
            <w:tcW w:w="3004" w:type="dxa"/>
            <w:tcBorders>
              <w:top w:val="nil"/>
              <w:left w:val="single" w:sz="4" w:space="0" w:color="auto"/>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91"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r>
      <w:tr w:rsidR="002C17B2" w:rsidRPr="00174E3E" w:rsidTr="00A759C6">
        <w:trPr>
          <w:trHeight w:val="225"/>
        </w:trPr>
        <w:tc>
          <w:tcPr>
            <w:tcW w:w="3004" w:type="dxa"/>
            <w:tcBorders>
              <w:top w:val="nil"/>
              <w:left w:val="single" w:sz="4" w:space="0" w:color="auto"/>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b/>
                <w:bCs/>
                <w:color w:val="000000"/>
                <w:sz w:val="20"/>
                <w:szCs w:val="20"/>
              </w:rPr>
            </w:pPr>
            <w:r w:rsidRPr="00174E3E">
              <w:rPr>
                <w:rFonts w:eastAsia="Times New Roman" w:cs="Calibri"/>
                <w:b/>
                <w:bCs/>
                <w:color w:val="000000"/>
                <w:sz w:val="20"/>
                <w:szCs w:val="20"/>
              </w:rPr>
              <w:t>Furniture and Fixtures</w:t>
            </w:r>
          </w:p>
        </w:tc>
        <w:tc>
          <w:tcPr>
            <w:tcW w:w="791"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r>
      <w:tr w:rsidR="002C17B2" w:rsidRPr="00174E3E" w:rsidTr="00A759C6">
        <w:trPr>
          <w:trHeight w:val="225"/>
        </w:trPr>
        <w:tc>
          <w:tcPr>
            <w:tcW w:w="3004" w:type="dxa"/>
            <w:tcBorders>
              <w:top w:val="nil"/>
              <w:left w:val="single" w:sz="4" w:space="0" w:color="auto"/>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Upholstery/Furniture Making</w:t>
            </w:r>
          </w:p>
        </w:tc>
        <w:tc>
          <w:tcPr>
            <w:tcW w:w="791"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500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500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500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50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75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500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450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425</w:t>
            </w:r>
          </w:p>
        </w:tc>
      </w:tr>
      <w:tr w:rsidR="002C17B2" w:rsidRPr="00174E3E" w:rsidTr="00A759C6">
        <w:trPr>
          <w:trHeight w:val="225"/>
        </w:trPr>
        <w:tc>
          <w:tcPr>
            <w:tcW w:w="3004" w:type="dxa"/>
            <w:tcBorders>
              <w:top w:val="nil"/>
              <w:left w:val="single" w:sz="4" w:space="0" w:color="auto"/>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91"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r>
      <w:tr w:rsidR="002C17B2" w:rsidRPr="00174E3E" w:rsidTr="00A759C6">
        <w:trPr>
          <w:trHeight w:val="225"/>
        </w:trPr>
        <w:tc>
          <w:tcPr>
            <w:tcW w:w="3004" w:type="dxa"/>
            <w:tcBorders>
              <w:top w:val="nil"/>
              <w:left w:val="single" w:sz="4" w:space="0" w:color="auto"/>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b/>
                <w:bCs/>
                <w:color w:val="000000"/>
                <w:sz w:val="20"/>
                <w:szCs w:val="20"/>
              </w:rPr>
            </w:pPr>
            <w:r w:rsidRPr="00174E3E">
              <w:rPr>
                <w:rFonts w:eastAsia="Times New Roman" w:cs="Calibri"/>
                <w:b/>
                <w:bCs/>
                <w:color w:val="000000"/>
                <w:sz w:val="20"/>
                <w:szCs w:val="20"/>
              </w:rPr>
              <w:t>Garments</w:t>
            </w:r>
          </w:p>
        </w:tc>
        <w:tc>
          <w:tcPr>
            <w:tcW w:w="791"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r>
      <w:tr w:rsidR="002C17B2" w:rsidRPr="00174E3E" w:rsidTr="00A759C6">
        <w:trPr>
          <w:trHeight w:val="225"/>
        </w:trPr>
        <w:tc>
          <w:tcPr>
            <w:tcW w:w="3004" w:type="dxa"/>
            <w:tcBorders>
              <w:top w:val="nil"/>
              <w:left w:val="single" w:sz="4" w:space="0" w:color="auto"/>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Dressmaking</w:t>
            </w:r>
          </w:p>
        </w:tc>
        <w:tc>
          <w:tcPr>
            <w:tcW w:w="791"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264</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267</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269</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271</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250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250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-7</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17</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19</w:t>
            </w:r>
          </w:p>
        </w:tc>
      </w:tr>
      <w:tr w:rsidR="002C17B2" w:rsidRPr="00174E3E" w:rsidTr="00A759C6">
        <w:trPr>
          <w:trHeight w:val="225"/>
        </w:trPr>
        <w:tc>
          <w:tcPr>
            <w:tcW w:w="3004" w:type="dxa"/>
            <w:tcBorders>
              <w:top w:val="nil"/>
              <w:left w:val="single" w:sz="4" w:space="0" w:color="auto"/>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High Speed Sewing Machine Operation</w:t>
            </w:r>
          </w:p>
        </w:tc>
        <w:tc>
          <w:tcPr>
            <w:tcW w:w="791"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330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335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335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100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150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330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235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185</w:t>
            </w:r>
          </w:p>
        </w:tc>
      </w:tr>
      <w:tr w:rsidR="002C17B2" w:rsidRPr="00174E3E" w:rsidTr="00A759C6">
        <w:trPr>
          <w:trHeight w:val="225"/>
        </w:trPr>
        <w:tc>
          <w:tcPr>
            <w:tcW w:w="3004" w:type="dxa"/>
            <w:tcBorders>
              <w:top w:val="nil"/>
              <w:left w:val="single" w:sz="4" w:space="0" w:color="auto"/>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Sewing (ISMO)</w:t>
            </w:r>
          </w:p>
        </w:tc>
        <w:tc>
          <w:tcPr>
            <w:tcW w:w="791"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835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835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830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50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100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835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785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730</w:t>
            </w:r>
          </w:p>
        </w:tc>
      </w:tr>
      <w:tr w:rsidR="002C17B2" w:rsidRPr="00174E3E" w:rsidTr="00A759C6">
        <w:trPr>
          <w:trHeight w:val="225"/>
        </w:trPr>
        <w:tc>
          <w:tcPr>
            <w:tcW w:w="3004" w:type="dxa"/>
            <w:tcBorders>
              <w:top w:val="nil"/>
              <w:left w:val="single" w:sz="4" w:space="0" w:color="auto"/>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Tailoring</w:t>
            </w:r>
          </w:p>
        </w:tc>
        <w:tc>
          <w:tcPr>
            <w:tcW w:w="791"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70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71</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69</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50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50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70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21</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19</w:t>
            </w:r>
          </w:p>
        </w:tc>
      </w:tr>
      <w:tr w:rsidR="002C17B2" w:rsidRPr="00174E3E" w:rsidTr="00A759C6">
        <w:trPr>
          <w:trHeight w:val="225"/>
        </w:trPr>
        <w:tc>
          <w:tcPr>
            <w:tcW w:w="3004" w:type="dxa"/>
            <w:tcBorders>
              <w:top w:val="nil"/>
              <w:left w:val="single" w:sz="4" w:space="0" w:color="auto"/>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91"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r>
      <w:tr w:rsidR="002C17B2" w:rsidRPr="00174E3E" w:rsidTr="00A759C6">
        <w:trPr>
          <w:trHeight w:val="225"/>
        </w:trPr>
        <w:tc>
          <w:tcPr>
            <w:tcW w:w="3004" w:type="dxa"/>
            <w:tcBorders>
              <w:top w:val="nil"/>
              <w:left w:val="single" w:sz="4" w:space="0" w:color="auto"/>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b/>
                <w:bCs/>
                <w:color w:val="000000"/>
                <w:sz w:val="20"/>
                <w:szCs w:val="20"/>
              </w:rPr>
            </w:pPr>
            <w:r w:rsidRPr="00174E3E">
              <w:rPr>
                <w:rFonts w:eastAsia="Times New Roman" w:cs="Calibri"/>
                <w:b/>
                <w:bCs/>
                <w:color w:val="000000"/>
                <w:sz w:val="20"/>
                <w:szCs w:val="20"/>
              </w:rPr>
              <w:t>General Infrastructure</w:t>
            </w:r>
          </w:p>
        </w:tc>
        <w:tc>
          <w:tcPr>
            <w:tcW w:w="791"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r>
      <w:tr w:rsidR="002C17B2" w:rsidRPr="00174E3E" w:rsidTr="00A759C6">
        <w:trPr>
          <w:trHeight w:val="225"/>
        </w:trPr>
        <w:tc>
          <w:tcPr>
            <w:tcW w:w="3004" w:type="dxa"/>
            <w:tcBorders>
              <w:top w:val="nil"/>
              <w:left w:val="single" w:sz="4" w:space="0" w:color="auto"/>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Carpentry NCII</w:t>
            </w:r>
          </w:p>
        </w:tc>
        <w:tc>
          <w:tcPr>
            <w:tcW w:w="791"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1665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1665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1670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400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982</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400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1265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683</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1270</w:t>
            </w:r>
          </w:p>
        </w:tc>
      </w:tr>
      <w:tr w:rsidR="002C17B2" w:rsidRPr="00174E3E" w:rsidTr="00A759C6">
        <w:trPr>
          <w:trHeight w:val="225"/>
        </w:trPr>
        <w:tc>
          <w:tcPr>
            <w:tcW w:w="3004" w:type="dxa"/>
            <w:tcBorders>
              <w:top w:val="nil"/>
              <w:left w:val="single" w:sz="4" w:space="0" w:color="auto"/>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Construction Painting NC II</w:t>
            </w:r>
          </w:p>
        </w:tc>
        <w:tc>
          <w:tcPr>
            <w:tcW w:w="791"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1665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1665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1670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28</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50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75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1637</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1615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1595</w:t>
            </w:r>
          </w:p>
        </w:tc>
      </w:tr>
      <w:tr w:rsidR="002C17B2" w:rsidRPr="00174E3E" w:rsidTr="00A759C6">
        <w:trPr>
          <w:trHeight w:val="450"/>
        </w:trPr>
        <w:tc>
          <w:tcPr>
            <w:tcW w:w="3004" w:type="dxa"/>
            <w:tcBorders>
              <w:top w:val="nil"/>
              <w:left w:val="single" w:sz="4" w:space="0" w:color="auto"/>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Electrician (Electrical installation and Maintenance) NC II</w:t>
            </w:r>
          </w:p>
        </w:tc>
        <w:tc>
          <w:tcPr>
            <w:tcW w:w="791"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2000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2000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2000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1199</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1350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1350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801</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650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650</w:t>
            </w:r>
          </w:p>
        </w:tc>
      </w:tr>
      <w:tr w:rsidR="002C17B2" w:rsidRPr="00174E3E" w:rsidTr="00A759C6">
        <w:trPr>
          <w:trHeight w:val="450"/>
        </w:trPr>
        <w:tc>
          <w:tcPr>
            <w:tcW w:w="3004" w:type="dxa"/>
            <w:tcBorders>
              <w:top w:val="nil"/>
              <w:left w:val="single" w:sz="4" w:space="0" w:color="auto"/>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Electrician (Electrical Installation and Maintenance) NCIII</w:t>
            </w:r>
          </w:p>
        </w:tc>
        <w:tc>
          <w:tcPr>
            <w:tcW w:w="791"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1665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1665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1670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27</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600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600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1638</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1065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1070</w:t>
            </w:r>
          </w:p>
        </w:tc>
      </w:tr>
      <w:tr w:rsidR="002C17B2" w:rsidRPr="00174E3E" w:rsidTr="00A759C6">
        <w:trPr>
          <w:trHeight w:val="225"/>
        </w:trPr>
        <w:tc>
          <w:tcPr>
            <w:tcW w:w="3004" w:type="dxa"/>
            <w:tcBorders>
              <w:top w:val="nil"/>
              <w:left w:val="single" w:sz="4" w:space="0" w:color="auto"/>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Finishing Carpentry</w:t>
            </w:r>
          </w:p>
        </w:tc>
        <w:tc>
          <w:tcPr>
            <w:tcW w:w="791"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1665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1665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1670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150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200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1665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1515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1470</w:t>
            </w:r>
          </w:p>
        </w:tc>
      </w:tr>
      <w:tr w:rsidR="002C17B2" w:rsidRPr="00174E3E" w:rsidTr="00A759C6">
        <w:trPr>
          <w:trHeight w:val="225"/>
        </w:trPr>
        <w:tc>
          <w:tcPr>
            <w:tcW w:w="3004" w:type="dxa"/>
            <w:tcBorders>
              <w:top w:val="nil"/>
              <w:left w:val="single" w:sz="4" w:space="0" w:color="auto"/>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Forklift and Articulated Vehicles</w:t>
            </w:r>
          </w:p>
        </w:tc>
        <w:tc>
          <w:tcPr>
            <w:tcW w:w="791"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835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835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830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50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50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835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785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780</w:t>
            </w:r>
          </w:p>
        </w:tc>
      </w:tr>
      <w:tr w:rsidR="002C17B2" w:rsidRPr="00174E3E" w:rsidTr="00A759C6">
        <w:trPr>
          <w:trHeight w:val="450"/>
        </w:trPr>
        <w:tc>
          <w:tcPr>
            <w:tcW w:w="3004" w:type="dxa"/>
            <w:tcBorders>
              <w:top w:val="nil"/>
              <w:left w:val="single" w:sz="4" w:space="0" w:color="auto"/>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Heavy equipment operation (HEO of various types)</w:t>
            </w:r>
          </w:p>
        </w:tc>
        <w:tc>
          <w:tcPr>
            <w:tcW w:w="791"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3167</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3167</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3166</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600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1150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1150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2567</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2017</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2016</w:t>
            </w:r>
          </w:p>
        </w:tc>
      </w:tr>
      <w:tr w:rsidR="002C17B2" w:rsidRPr="00174E3E" w:rsidTr="00A759C6">
        <w:trPr>
          <w:trHeight w:val="225"/>
        </w:trPr>
        <w:tc>
          <w:tcPr>
            <w:tcW w:w="3004" w:type="dxa"/>
            <w:tcBorders>
              <w:top w:val="nil"/>
              <w:left w:val="single" w:sz="4" w:space="0" w:color="auto"/>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HEO Mechanic /Servicing</w:t>
            </w:r>
          </w:p>
        </w:tc>
        <w:tc>
          <w:tcPr>
            <w:tcW w:w="791"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330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335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335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75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100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330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260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235</w:t>
            </w:r>
          </w:p>
        </w:tc>
      </w:tr>
      <w:tr w:rsidR="002C17B2" w:rsidRPr="00174E3E" w:rsidTr="00A759C6">
        <w:trPr>
          <w:trHeight w:val="225"/>
        </w:trPr>
        <w:tc>
          <w:tcPr>
            <w:tcW w:w="3004" w:type="dxa"/>
            <w:tcBorders>
              <w:top w:val="nil"/>
              <w:left w:val="single" w:sz="4" w:space="0" w:color="auto"/>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Masonry NCII</w:t>
            </w:r>
          </w:p>
        </w:tc>
        <w:tc>
          <w:tcPr>
            <w:tcW w:w="791"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1665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1665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1670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16</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375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500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1649</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1290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1170</w:t>
            </w:r>
          </w:p>
        </w:tc>
      </w:tr>
      <w:tr w:rsidR="002C17B2" w:rsidRPr="00174E3E" w:rsidTr="00A759C6">
        <w:trPr>
          <w:trHeight w:val="225"/>
        </w:trPr>
        <w:tc>
          <w:tcPr>
            <w:tcW w:w="3004" w:type="dxa"/>
            <w:tcBorders>
              <w:top w:val="nil"/>
              <w:left w:val="single" w:sz="4" w:space="0" w:color="auto"/>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Pipefitting NCII</w:t>
            </w:r>
          </w:p>
        </w:tc>
        <w:tc>
          <w:tcPr>
            <w:tcW w:w="791"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1665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1665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1670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176</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50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75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1489</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1615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1595</w:t>
            </w:r>
          </w:p>
        </w:tc>
      </w:tr>
      <w:tr w:rsidR="002C17B2" w:rsidRPr="00174E3E" w:rsidTr="00A759C6">
        <w:trPr>
          <w:trHeight w:val="225"/>
        </w:trPr>
        <w:tc>
          <w:tcPr>
            <w:tcW w:w="3004" w:type="dxa"/>
            <w:tcBorders>
              <w:top w:val="nil"/>
              <w:left w:val="single" w:sz="4" w:space="0" w:color="auto"/>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Plumbing NCII</w:t>
            </w:r>
          </w:p>
        </w:tc>
        <w:tc>
          <w:tcPr>
            <w:tcW w:w="791"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1665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1665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1670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250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300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300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1415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1365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1370</w:t>
            </w:r>
          </w:p>
        </w:tc>
      </w:tr>
      <w:tr w:rsidR="002C17B2" w:rsidRPr="00174E3E" w:rsidTr="00A759C6">
        <w:trPr>
          <w:trHeight w:val="225"/>
        </w:trPr>
        <w:tc>
          <w:tcPr>
            <w:tcW w:w="3004" w:type="dxa"/>
            <w:tcBorders>
              <w:top w:val="nil"/>
              <w:left w:val="single" w:sz="4" w:space="0" w:color="auto"/>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Rebar/Reinforcing Steel Works NCII</w:t>
            </w:r>
          </w:p>
        </w:tc>
        <w:tc>
          <w:tcPr>
            <w:tcW w:w="791"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1665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1665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1670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2</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100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150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1663</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1565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1520</w:t>
            </w:r>
          </w:p>
        </w:tc>
      </w:tr>
      <w:tr w:rsidR="002C17B2" w:rsidRPr="00174E3E" w:rsidTr="00A759C6">
        <w:trPr>
          <w:trHeight w:val="225"/>
        </w:trPr>
        <w:tc>
          <w:tcPr>
            <w:tcW w:w="3004" w:type="dxa"/>
            <w:tcBorders>
              <w:top w:val="nil"/>
              <w:left w:val="single" w:sz="4" w:space="0" w:color="auto"/>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Rough Carpentry</w:t>
            </w:r>
          </w:p>
        </w:tc>
        <w:tc>
          <w:tcPr>
            <w:tcW w:w="791"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1665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1665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1670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150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200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1665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1515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1470</w:t>
            </w:r>
          </w:p>
        </w:tc>
      </w:tr>
      <w:tr w:rsidR="002C17B2" w:rsidRPr="00174E3E" w:rsidTr="00A759C6">
        <w:trPr>
          <w:trHeight w:val="225"/>
        </w:trPr>
        <w:tc>
          <w:tcPr>
            <w:tcW w:w="3004" w:type="dxa"/>
            <w:tcBorders>
              <w:top w:val="nil"/>
              <w:left w:val="single" w:sz="4" w:space="0" w:color="auto"/>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Scaffolding  Erection NC II</w:t>
            </w:r>
          </w:p>
        </w:tc>
        <w:tc>
          <w:tcPr>
            <w:tcW w:w="791"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1832</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1832</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1836</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576</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800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1000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1256</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1032</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836</w:t>
            </w:r>
          </w:p>
        </w:tc>
      </w:tr>
      <w:tr w:rsidR="002C17B2" w:rsidRPr="00174E3E" w:rsidTr="00A759C6">
        <w:trPr>
          <w:trHeight w:val="225"/>
        </w:trPr>
        <w:tc>
          <w:tcPr>
            <w:tcW w:w="3004" w:type="dxa"/>
            <w:tcBorders>
              <w:top w:val="nil"/>
              <w:left w:val="single" w:sz="4" w:space="0" w:color="auto"/>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Technical Drafting NC II</w:t>
            </w:r>
          </w:p>
        </w:tc>
        <w:tc>
          <w:tcPr>
            <w:tcW w:w="791"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500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400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400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35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200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400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465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200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0</w:t>
            </w:r>
          </w:p>
        </w:tc>
      </w:tr>
      <w:tr w:rsidR="002C17B2" w:rsidRPr="00174E3E" w:rsidTr="00A759C6">
        <w:trPr>
          <w:trHeight w:val="225"/>
        </w:trPr>
        <w:tc>
          <w:tcPr>
            <w:tcW w:w="3004" w:type="dxa"/>
            <w:tcBorders>
              <w:top w:val="nil"/>
              <w:left w:val="single" w:sz="4" w:space="0" w:color="auto"/>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Tile Setting NCII</w:t>
            </w:r>
          </w:p>
        </w:tc>
        <w:tc>
          <w:tcPr>
            <w:tcW w:w="791"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1665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1665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1670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971</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1200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1200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694</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465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470</w:t>
            </w:r>
          </w:p>
        </w:tc>
      </w:tr>
      <w:tr w:rsidR="002C17B2" w:rsidRPr="00174E3E" w:rsidTr="00A759C6">
        <w:trPr>
          <w:trHeight w:val="225"/>
        </w:trPr>
        <w:tc>
          <w:tcPr>
            <w:tcW w:w="3004" w:type="dxa"/>
            <w:tcBorders>
              <w:top w:val="nil"/>
              <w:left w:val="single" w:sz="4" w:space="0" w:color="auto"/>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91"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r>
      <w:tr w:rsidR="002C17B2" w:rsidRPr="00174E3E" w:rsidTr="00A759C6">
        <w:trPr>
          <w:trHeight w:val="225"/>
        </w:trPr>
        <w:tc>
          <w:tcPr>
            <w:tcW w:w="3004" w:type="dxa"/>
            <w:tcBorders>
              <w:top w:val="nil"/>
              <w:left w:val="single" w:sz="4" w:space="0" w:color="auto"/>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b/>
                <w:bCs/>
                <w:color w:val="000000"/>
                <w:sz w:val="20"/>
                <w:szCs w:val="20"/>
              </w:rPr>
            </w:pPr>
            <w:r w:rsidRPr="00174E3E">
              <w:rPr>
                <w:rFonts w:eastAsia="Times New Roman" w:cs="Calibri"/>
                <w:b/>
                <w:bCs/>
                <w:color w:val="000000"/>
                <w:sz w:val="20"/>
                <w:szCs w:val="20"/>
              </w:rPr>
              <w:t>Health, Social &amp; Other Community Services</w:t>
            </w:r>
          </w:p>
        </w:tc>
        <w:tc>
          <w:tcPr>
            <w:tcW w:w="791"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r>
      <w:tr w:rsidR="002C17B2" w:rsidRPr="00174E3E" w:rsidTr="00A759C6">
        <w:trPr>
          <w:trHeight w:val="225"/>
        </w:trPr>
        <w:tc>
          <w:tcPr>
            <w:tcW w:w="3004" w:type="dxa"/>
            <w:tcBorders>
              <w:top w:val="nil"/>
              <w:left w:val="single" w:sz="4" w:space="0" w:color="auto"/>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Barangay Health Services</w:t>
            </w:r>
          </w:p>
        </w:tc>
        <w:tc>
          <w:tcPr>
            <w:tcW w:w="791"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1665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1665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1670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100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150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1665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1565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1520</w:t>
            </w:r>
          </w:p>
        </w:tc>
      </w:tr>
      <w:tr w:rsidR="002C17B2" w:rsidRPr="00174E3E" w:rsidTr="00A759C6">
        <w:trPr>
          <w:trHeight w:val="225"/>
        </w:trPr>
        <w:tc>
          <w:tcPr>
            <w:tcW w:w="3004" w:type="dxa"/>
            <w:tcBorders>
              <w:top w:val="nil"/>
              <w:left w:val="single" w:sz="4" w:space="0" w:color="auto"/>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Beauty Care Services</w:t>
            </w:r>
          </w:p>
        </w:tc>
        <w:tc>
          <w:tcPr>
            <w:tcW w:w="791"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250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250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250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100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394</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150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150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-144</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100</w:t>
            </w:r>
          </w:p>
        </w:tc>
      </w:tr>
      <w:tr w:rsidR="002C17B2" w:rsidRPr="00174E3E" w:rsidTr="00A759C6">
        <w:trPr>
          <w:trHeight w:val="225"/>
        </w:trPr>
        <w:tc>
          <w:tcPr>
            <w:tcW w:w="3004" w:type="dxa"/>
            <w:tcBorders>
              <w:top w:val="nil"/>
              <w:left w:val="single" w:sz="4" w:space="0" w:color="auto"/>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Bookkeeping</w:t>
            </w:r>
          </w:p>
        </w:tc>
        <w:tc>
          <w:tcPr>
            <w:tcW w:w="791"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83</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85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82</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100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756</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656</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-17</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-671</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-574</w:t>
            </w:r>
          </w:p>
        </w:tc>
      </w:tr>
      <w:tr w:rsidR="002C17B2" w:rsidRPr="00174E3E" w:rsidTr="00A759C6">
        <w:trPr>
          <w:trHeight w:val="225"/>
        </w:trPr>
        <w:tc>
          <w:tcPr>
            <w:tcW w:w="3004" w:type="dxa"/>
            <w:tcBorders>
              <w:top w:val="nil"/>
              <w:left w:val="single" w:sz="4" w:space="0" w:color="auto"/>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Caregiving</w:t>
            </w:r>
          </w:p>
        </w:tc>
        <w:tc>
          <w:tcPr>
            <w:tcW w:w="791"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1665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1665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1670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163</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450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500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1502</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1215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1170</w:t>
            </w:r>
          </w:p>
        </w:tc>
      </w:tr>
      <w:tr w:rsidR="002C17B2" w:rsidRPr="00174E3E" w:rsidTr="00A759C6">
        <w:trPr>
          <w:trHeight w:val="225"/>
        </w:trPr>
        <w:tc>
          <w:tcPr>
            <w:tcW w:w="3004" w:type="dxa"/>
            <w:tcBorders>
              <w:top w:val="nil"/>
              <w:left w:val="single" w:sz="4" w:space="0" w:color="auto"/>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Emergency Medical Services/Lifeguard</w:t>
            </w:r>
          </w:p>
        </w:tc>
        <w:tc>
          <w:tcPr>
            <w:tcW w:w="791"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66</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66</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68</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481</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50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50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-415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16</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18</w:t>
            </w:r>
          </w:p>
        </w:tc>
      </w:tr>
      <w:tr w:rsidR="002C17B2" w:rsidRPr="00174E3E" w:rsidTr="00A759C6">
        <w:trPr>
          <w:trHeight w:val="450"/>
        </w:trPr>
        <w:tc>
          <w:tcPr>
            <w:tcW w:w="3004" w:type="dxa"/>
            <w:tcBorders>
              <w:top w:val="nil"/>
              <w:left w:val="single" w:sz="4" w:space="0" w:color="auto"/>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Handicraft Making (bamboo, cogon, water lily)</w:t>
            </w:r>
          </w:p>
        </w:tc>
        <w:tc>
          <w:tcPr>
            <w:tcW w:w="791"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298</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200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202</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100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150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298</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100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52</w:t>
            </w:r>
          </w:p>
        </w:tc>
      </w:tr>
      <w:tr w:rsidR="002C17B2" w:rsidRPr="00174E3E" w:rsidTr="00A759C6">
        <w:trPr>
          <w:trHeight w:val="450"/>
        </w:trPr>
        <w:tc>
          <w:tcPr>
            <w:tcW w:w="3004" w:type="dxa"/>
            <w:tcBorders>
              <w:top w:val="nil"/>
              <w:left w:val="single" w:sz="4" w:space="0" w:color="auto"/>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Handicraft Making (souvenirs and novelty items making)</w:t>
            </w:r>
          </w:p>
        </w:tc>
        <w:tc>
          <w:tcPr>
            <w:tcW w:w="791"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566</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568</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566</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50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50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100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516</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518</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466</w:t>
            </w:r>
          </w:p>
        </w:tc>
      </w:tr>
      <w:tr w:rsidR="002C17B2" w:rsidRPr="00174E3E" w:rsidTr="00A759C6">
        <w:trPr>
          <w:trHeight w:val="225"/>
        </w:trPr>
        <w:tc>
          <w:tcPr>
            <w:tcW w:w="3004" w:type="dxa"/>
            <w:tcBorders>
              <w:top w:val="nil"/>
              <w:left w:val="single" w:sz="4" w:space="0" w:color="auto"/>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Health Care Services</w:t>
            </w:r>
          </w:p>
        </w:tc>
        <w:tc>
          <w:tcPr>
            <w:tcW w:w="791"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330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335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335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186</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250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400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144</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85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-65</w:t>
            </w:r>
          </w:p>
        </w:tc>
      </w:tr>
      <w:tr w:rsidR="002C17B2" w:rsidRPr="00174E3E" w:rsidTr="00A759C6">
        <w:trPr>
          <w:trHeight w:val="225"/>
        </w:trPr>
        <w:tc>
          <w:tcPr>
            <w:tcW w:w="3004" w:type="dxa"/>
            <w:tcBorders>
              <w:top w:val="nil"/>
              <w:left w:val="single" w:sz="4" w:space="0" w:color="auto"/>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Hilot (Wellness Massage)</w:t>
            </w:r>
          </w:p>
        </w:tc>
        <w:tc>
          <w:tcPr>
            <w:tcW w:w="791"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165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165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170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630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500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100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-465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-335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70</w:t>
            </w:r>
          </w:p>
        </w:tc>
      </w:tr>
      <w:tr w:rsidR="002C17B2" w:rsidRPr="00174E3E" w:rsidTr="00A759C6">
        <w:trPr>
          <w:trHeight w:val="225"/>
        </w:trPr>
        <w:tc>
          <w:tcPr>
            <w:tcW w:w="3004" w:type="dxa"/>
            <w:tcBorders>
              <w:top w:val="nil"/>
              <w:left w:val="single" w:sz="4" w:space="0" w:color="auto"/>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Household Service Worker/Domestic Work</w:t>
            </w:r>
          </w:p>
        </w:tc>
        <w:tc>
          <w:tcPr>
            <w:tcW w:w="791"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500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500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500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15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150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200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485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350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300</w:t>
            </w:r>
          </w:p>
        </w:tc>
      </w:tr>
      <w:tr w:rsidR="002C17B2" w:rsidRPr="00174E3E" w:rsidTr="00A759C6">
        <w:trPr>
          <w:trHeight w:val="225"/>
        </w:trPr>
        <w:tc>
          <w:tcPr>
            <w:tcW w:w="3004" w:type="dxa"/>
            <w:tcBorders>
              <w:top w:val="nil"/>
              <w:left w:val="single" w:sz="4" w:space="0" w:color="auto"/>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Massage Therapy</w:t>
            </w:r>
          </w:p>
        </w:tc>
        <w:tc>
          <w:tcPr>
            <w:tcW w:w="791"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835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835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830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137</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300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600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698</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535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230</w:t>
            </w:r>
          </w:p>
        </w:tc>
      </w:tr>
      <w:tr w:rsidR="002C17B2" w:rsidRPr="00174E3E" w:rsidTr="00A759C6">
        <w:trPr>
          <w:trHeight w:val="225"/>
        </w:trPr>
        <w:tc>
          <w:tcPr>
            <w:tcW w:w="3004" w:type="dxa"/>
            <w:tcBorders>
              <w:top w:val="nil"/>
              <w:left w:val="single" w:sz="4" w:space="0" w:color="auto"/>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Reflexology</w:t>
            </w:r>
          </w:p>
        </w:tc>
        <w:tc>
          <w:tcPr>
            <w:tcW w:w="791"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835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835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830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158</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50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100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677</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785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730</w:t>
            </w:r>
          </w:p>
        </w:tc>
      </w:tr>
      <w:tr w:rsidR="002C17B2" w:rsidRPr="00174E3E" w:rsidTr="00A759C6">
        <w:trPr>
          <w:trHeight w:val="225"/>
        </w:trPr>
        <w:tc>
          <w:tcPr>
            <w:tcW w:w="3004" w:type="dxa"/>
            <w:tcBorders>
              <w:top w:val="nil"/>
              <w:left w:val="single" w:sz="4" w:space="0" w:color="auto"/>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Security Services</w:t>
            </w:r>
          </w:p>
        </w:tc>
        <w:tc>
          <w:tcPr>
            <w:tcW w:w="791"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83</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85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82</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250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250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83</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-165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-168</w:t>
            </w:r>
          </w:p>
        </w:tc>
      </w:tr>
      <w:tr w:rsidR="002C17B2" w:rsidRPr="00174E3E" w:rsidTr="00A759C6">
        <w:trPr>
          <w:trHeight w:val="225"/>
        </w:trPr>
        <w:tc>
          <w:tcPr>
            <w:tcW w:w="3004" w:type="dxa"/>
            <w:tcBorders>
              <w:top w:val="nil"/>
              <w:left w:val="single" w:sz="4" w:space="0" w:color="auto"/>
              <w:bottom w:val="single" w:sz="4" w:space="0" w:color="auto"/>
              <w:right w:val="single" w:sz="4" w:space="0" w:color="auto"/>
            </w:tcBorders>
            <w:shd w:val="clear" w:color="auto" w:fill="auto"/>
            <w:vAlign w:val="center"/>
          </w:tcPr>
          <w:p w:rsidR="002C17B2" w:rsidRPr="00174E3E" w:rsidRDefault="002C17B2" w:rsidP="004834E6">
            <w:pPr>
              <w:spacing w:after="0" w:line="240" w:lineRule="auto"/>
              <w:jc w:val="both"/>
              <w:rPr>
                <w:rFonts w:eastAsia="Times New Roman" w:cs="Calibri"/>
                <w:color w:val="000000"/>
                <w:sz w:val="20"/>
                <w:szCs w:val="20"/>
              </w:rPr>
            </w:pPr>
          </w:p>
        </w:tc>
        <w:tc>
          <w:tcPr>
            <w:tcW w:w="791" w:type="dxa"/>
            <w:tcBorders>
              <w:top w:val="nil"/>
              <w:left w:val="nil"/>
              <w:bottom w:val="single" w:sz="4" w:space="0" w:color="auto"/>
              <w:right w:val="single" w:sz="4" w:space="0" w:color="auto"/>
            </w:tcBorders>
            <w:shd w:val="clear" w:color="auto" w:fill="auto"/>
            <w:vAlign w:val="center"/>
          </w:tcPr>
          <w:p w:rsidR="002C17B2" w:rsidRPr="00174E3E" w:rsidRDefault="002C17B2" w:rsidP="004834E6">
            <w:pPr>
              <w:spacing w:after="0" w:line="240" w:lineRule="auto"/>
              <w:jc w:val="both"/>
              <w:rPr>
                <w:rFonts w:eastAsia="Times New Roman" w:cs="Calibri"/>
                <w:color w:val="000000"/>
                <w:sz w:val="20"/>
                <w:szCs w:val="20"/>
              </w:rPr>
            </w:pPr>
          </w:p>
        </w:tc>
        <w:tc>
          <w:tcPr>
            <w:tcW w:w="773" w:type="dxa"/>
            <w:tcBorders>
              <w:top w:val="nil"/>
              <w:left w:val="nil"/>
              <w:bottom w:val="single" w:sz="4" w:space="0" w:color="auto"/>
              <w:right w:val="single" w:sz="4" w:space="0" w:color="auto"/>
            </w:tcBorders>
            <w:shd w:val="clear" w:color="auto" w:fill="auto"/>
            <w:vAlign w:val="center"/>
          </w:tcPr>
          <w:p w:rsidR="002C17B2" w:rsidRPr="00174E3E" w:rsidRDefault="002C17B2" w:rsidP="004834E6">
            <w:pPr>
              <w:spacing w:after="0" w:line="240" w:lineRule="auto"/>
              <w:jc w:val="both"/>
              <w:rPr>
                <w:rFonts w:eastAsia="Times New Roman" w:cs="Calibri"/>
                <w:color w:val="000000"/>
                <w:sz w:val="20"/>
                <w:szCs w:val="20"/>
              </w:rPr>
            </w:pPr>
          </w:p>
        </w:tc>
        <w:tc>
          <w:tcPr>
            <w:tcW w:w="773" w:type="dxa"/>
            <w:tcBorders>
              <w:top w:val="nil"/>
              <w:left w:val="nil"/>
              <w:bottom w:val="single" w:sz="4" w:space="0" w:color="auto"/>
              <w:right w:val="single" w:sz="4" w:space="0" w:color="auto"/>
            </w:tcBorders>
            <w:shd w:val="clear" w:color="auto" w:fill="auto"/>
            <w:vAlign w:val="center"/>
          </w:tcPr>
          <w:p w:rsidR="002C17B2" w:rsidRPr="00174E3E" w:rsidRDefault="002C17B2" w:rsidP="004834E6">
            <w:pPr>
              <w:spacing w:after="0" w:line="240" w:lineRule="auto"/>
              <w:jc w:val="both"/>
              <w:rPr>
                <w:rFonts w:eastAsia="Times New Roman" w:cs="Calibri"/>
                <w:color w:val="000000"/>
                <w:sz w:val="20"/>
                <w:szCs w:val="20"/>
              </w:rPr>
            </w:pPr>
          </w:p>
        </w:tc>
        <w:tc>
          <w:tcPr>
            <w:tcW w:w="773" w:type="dxa"/>
            <w:tcBorders>
              <w:top w:val="nil"/>
              <w:left w:val="nil"/>
              <w:bottom w:val="single" w:sz="4" w:space="0" w:color="auto"/>
              <w:right w:val="single" w:sz="4" w:space="0" w:color="auto"/>
            </w:tcBorders>
            <w:shd w:val="clear" w:color="auto" w:fill="auto"/>
            <w:vAlign w:val="center"/>
          </w:tcPr>
          <w:p w:rsidR="002C17B2" w:rsidRPr="00174E3E" w:rsidRDefault="002C17B2" w:rsidP="004834E6">
            <w:pPr>
              <w:spacing w:after="0" w:line="240" w:lineRule="auto"/>
              <w:jc w:val="both"/>
              <w:rPr>
                <w:rFonts w:eastAsia="Times New Roman" w:cs="Calibri"/>
                <w:sz w:val="20"/>
                <w:szCs w:val="20"/>
              </w:rPr>
            </w:pPr>
          </w:p>
        </w:tc>
        <w:tc>
          <w:tcPr>
            <w:tcW w:w="773" w:type="dxa"/>
            <w:tcBorders>
              <w:top w:val="nil"/>
              <w:left w:val="nil"/>
              <w:bottom w:val="single" w:sz="4" w:space="0" w:color="auto"/>
              <w:right w:val="single" w:sz="4" w:space="0" w:color="auto"/>
            </w:tcBorders>
            <w:shd w:val="clear" w:color="auto" w:fill="auto"/>
            <w:vAlign w:val="center"/>
          </w:tcPr>
          <w:p w:rsidR="002C17B2" w:rsidRPr="00174E3E" w:rsidRDefault="002C17B2" w:rsidP="004834E6">
            <w:pPr>
              <w:spacing w:after="0" w:line="240" w:lineRule="auto"/>
              <w:jc w:val="both"/>
              <w:rPr>
                <w:rFonts w:eastAsia="Times New Roman" w:cs="Calibri"/>
                <w:sz w:val="20"/>
                <w:szCs w:val="20"/>
              </w:rPr>
            </w:pPr>
          </w:p>
        </w:tc>
        <w:tc>
          <w:tcPr>
            <w:tcW w:w="773" w:type="dxa"/>
            <w:tcBorders>
              <w:top w:val="nil"/>
              <w:left w:val="nil"/>
              <w:bottom w:val="single" w:sz="4" w:space="0" w:color="auto"/>
              <w:right w:val="single" w:sz="4" w:space="0" w:color="auto"/>
            </w:tcBorders>
            <w:shd w:val="clear" w:color="auto" w:fill="auto"/>
            <w:vAlign w:val="center"/>
          </w:tcPr>
          <w:p w:rsidR="002C17B2" w:rsidRPr="00174E3E" w:rsidRDefault="002C17B2" w:rsidP="004834E6">
            <w:pPr>
              <w:spacing w:after="0" w:line="240" w:lineRule="auto"/>
              <w:jc w:val="both"/>
              <w:rPr>
                <w:rFonts w:eastAsia="Times New Roman" w:cs="Calibri"/>
                <w:sz w:val="20"/>
                <w:szCs w:val="20"/>
              </w:rPr>
            </w:pPr>
          </w:p>
        </w:tc>
        <w:tc>
          <w:tcPr>
            <w:tcW w:w="773" w:type="dxa"/>
            <w:tcBorders>
              <w:top w:val="nil"/>
              <w:left w:val="nil"/>
              <w:bottom w:val="single" w:sz="4" w:space="0" w:color="auto"/>
              <w:right w:val="single" w:sz="4" w:space="0" w:color="auto"/>
            </w:tcBorders>
            <w:shd w:val="clear" w:color="auto" w:fill="auto"/>
            <w:vAlign w:val="center"/>
          </w:tcPr>
          <w:p w:rsidR="002C17B2" w:rsidRPr="00174E3E" w:rsidRDefault="002C17B2" w:rsidP="004834E6">
            <w:pPr>
              <w:spacing w:after="0" w:line="240" w:lineRule="auto"/>
              <w:jc w:val="both"/>
              <w:rPr>
                <w:rFonts w:eastAsia="Times New Roman" w:cs="Calibri"/>
                <w:color w:val="000000"/>
                <w:sz w:val="20"/>
                <w:szCs w:val="20"/>
              </w:rPr>
            </w:pPr>
          </w:p>
        </w:tc>
        <w:tc>
          <w:tcPr>
            <w:tcW w:w="773" w:type="dxa"/>
            <w:tcBorders>
              <w:top w:val="nil"/>
              <w:left w:val="nil"/>
              <w:bottom w:val="single" w:sz="4" w:space="0" w:color="auto"/>
              <w:right w:val="single" w:sz="4" w:space="0" w:color="auto"/>
            </w:tcBorders>
            <w:shd w:val="clear" w:color="auto" w:fill="auto"/>
            <w:vAlign w:val="center"/>
          </w:tcPr>
          <w:p w:rsidR="002C17B2" w:rsidRPr="00174E3E" w:rsidRDefault="002C17B2" w:rsidP="004834E6">
            <w:pPr>
              <w:spacing w:after="0" w:line="240" w:lineRule="auto"/>
              <w:jc w:val="both"/>
              <w:rPr>
                <w:rFonts w:eastAsia="Times New Roman" w:cs="Calibri"/>
                <w:color w:val="000000"/>
                <w:sz w:val="20"/>
                <w:szCs w:val="20"/>
              </w:rPr>
            </w:pPr>
          </w:p>
        </w:tc>
        <w:tc>
          <w:tcPr>
            <w:tcW w:w="773" w:type="dxa"/>
            <w:tcBorders>
              <w:top w:val="nil"/>
              <w:left w:val="nil"/>
              <w:bottom w:val="single" w:sz="4" w:space="0" w:color="auto"/>
              <w:right w:val="single" w:sz="4" w:space="0" w:color="auto"/>
            </w:tcBorders>
            <w:shd w:val="clear" w:color="auto" w:fill="auto"/>
            <w:vAlign w:val="center"/>
          </w:tcPr>
          <w:p w:rsidR="002C17B2" w:rsidRPr="00174E3E" w:rsidRDefault="002C17B2" w:rsidP="004834E6">
            <w:pPr>
              <w:spacing w:after="0" w:line="240" w:lineRule="auto"/>
              <w:jc w:val="both"/>
              <w:rPr>
                <w:rFonts w:eastAsia="Times New Roman" w:cs="Calibri"/>
                <w:color w:val="000000"/>
                <w:sz w:val="20"/>
                <w:szCs w:val="20"/>
              </w:rPr>
            </w:pPr>
          </w:p>
        </w:tc>
      </w:tr>
      <w:tr w:rsidR="002C17B2" w:rsidRPr="00174E3E" w:rsidTr="00A759C6">
        <w:trPr>
          <w:trHeight w:val="450"/>
        </w:trPr>
        <w:tc>
          <w:tcPr>
            <w:tcW w:w="3004" w:type="dxa"/>
            <w:tcBorders>
              <w:top w:val="nil"/>
              <w:left w:val="single" w:sz="4" w:space="0" w:color="auto"/>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b/>
                <w:bCs/>
                <w:color w:val="000000"/>
                <w:sz w:val="20"/>
                <w:szCs w:val="20"/>
              </w:rPr>
            </w:pPr>
            <w:r w:rsidRPr="00174E3E">
              <w:rPr>
                <w:rFonts w:eastAsia="Times New Roman" w:cs="Calibri"/>
                <w:b/>
                <w:bCs/>
                <w:color w:val="000000"/>
                <w:sz w:val="20"/>
                <w:szCs w:val="20"/>
              </w:rPr>
              <w:t>Heating, Ventillation, Airconditioning and Refrigeration</w:t>
            </w:r>
          </w:p>
        </w:tc>
        <w:tc>
          <w:tcPr>
            <w:tcW w:w="791"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r>
      <w:tr w:rsidR="002C17B2" w:rsidRPr="00174E3E" w:rsidTr="00A759C6">
        <w:trPr>
          <w:trHeight w:val="225"/>
        </w:trPr>
        <w:tc>
          <w:tcPr>
            <w:tcW w:w="3004" w:type="dxa"/>
            <w:tcBorders>
              <w:top w:val="nil"/>
              <w:left w:val="single" w:sz="4" w:space="0" w:color="auto"/>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Refrigeration &amp; Airconditioning Servicing</w:t>
            </w:r>
          </w:p>
        </w:tc>
        <w:tc>
          <w:tcPr>
            <w:tcW w:w="791"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297</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301</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302</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15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150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300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282</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151</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2</w:t>
            </w:r>
          </w:p>
        </w:tc>
      </w:tr>
      <w:tr w:rsidR="002C17B2" w:rsidRPr="00174E3E" w:rsidTr="00A759C6">
        <w:trPr>
          <w:trHeight w:val="450"/>
        </w:trPr>
        <w:tc>
          <w:tcPr>
            <w:tcW w:w="3004" w:type="dxa"/>
            <w:tcBorders>
              <w:top w:val="nil"/>
              <w:left w:val="single" w:sz="4" w:space="0" w:color="auto"/>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Refrigeration &amp; Airconditioning/Cold Storage Servicing</w:t>
            </w:r>
          </w:p>
        </w:tc>
        <w:tc>
          <w:tcPr>
            <w:tcW w:w="791"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500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500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500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150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300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500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350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200</w:t>
            </w:r>
          </w:p>
        </w:tc>
      </w:tr>
      <w:tr w:rsidR="002C17B2" w:rsidRPr="00174E3E" w:rsidTr="00A759C6">
        <w:trPr>
          <w:trHeight w:val="225"/>
        </w:trPr>
        <w:tc>
          <w:tcPr>
            <w:tcW w:w="3004" w:type="dxa"/>
            <w:tcBorders>
              <w:top w:val="nil"/>
              <w:left w:val="single" w:sz="4" w:space="0" w:color="auto"/>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91"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r>
      <w:tr w:rsidR="002C17B2" w:rsidRPr="00174E3E" w:rsidTr="00A759C6">
        <w:trPr>
          <w:trHeight w:val="225"/>
        </w:trPr>
        <w:tc>
          <w:tcPr>
            <w:tcW w:w="3004" w:type="dxa"/>
            <w:tcBorders>
              <w:top w:val="nil"/>
              <w:left w:val="single" w:sz="4" w:space="0" w:color="auto"/>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b/>
                <w:bCs/>
                <w:color w:val="000000"/>
                <w:sz w:val="20"/>
                <w:szCs w:val="20"/>
              </w:rPr>
            </w:pPr>
            <w:r w:rsidRPr="00174E3E">
              <w:rPr>
                <w:rFonts w:eastAsia="Times New Roman" w:cs="Calibri"/>
                <w:b/>
                <w:bCs/>
                <w:color w:val="000000"/>
                <w:sz w:val="20"/>
                <w:szCs w:val="20"/>
              </w:rPr>
              <w:t> Information and Communication Technology</w:t>
            </w:r>
          </w:p>
        </w:tc>
        <w:tc>
          <w:tcPr>
            <w:tcW w:w="791"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r>
      <w:tr w:rsidR="002C17B2" w:rsidRPr="00174E3E" w:rsidTr="00A759C6">
        <w:trPr>
          <w:trHeight w:val="450"/>
        </w:trPr>
        <w:tc>
          <w:tcPr>
            <w:tcW w:w="3004" w:type="dxa"/>
            <w:tcBorders>
              <w:top w:val="nil"/>
              <w:left w:val="single" w:sz="4" w:space="0" w:color="auto"/>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Computer Programmer (Software Designer)</w:t>
            </w:r>
          </w:p>
        </w:tc>
        <w:tc>
          <w:tcPr>
            <w:tcW w:w="791"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364</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368</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368</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190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200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364</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178</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168</w:t>
            </w:r>
          </w:p>
        </w:tc>
      </w:tr>
      <w:tr w:rsidR="002C17B2" w:rsidRPr="00174E3E" w:rsidTr="00A759C6">
        <w:trPr>
          <w:trHeight w:val="450"/>
        </w:trPr>
        <w:tc>
          <w:tcPr>
            <w:tcW w:w="3004" w:type="dxa"/>
            <w:tcBorders>
              <w:top w:val="nil"/>
              <w:left w:val="single" w:sz="4" w:space="0" w:color="auto"/>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Computer Programmer (Multi-Media/Web)</w:t>
            </w:r>
          </w:p>
        </w:tc>
        <w:tc>
          <w:tcPr>
            <w:tcW w:w="791"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330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335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335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185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200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330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150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135</w:t>
            </w:r>
          </w:p>
        </w:tc>
      </w:tr>
      <w:tr w:rsidR="002C17B2" w:rsidRPr="00174E3E" w:rsidTr="00A759C6">
        <w:trPr>
          <w:trHeight w:val="225"/>
        </w:trPr>
        <w:tc>
          <w:tcPr>
            <w:tcW w:w="3004" w:type="dxa"/>
            <w:tcBorders>
              <w:top w:val="nil"/>
              <w:left w:val="single" w:sz="4" w:space="0" w:color="auto"/>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Web Developer/Designer</w:t>
            </w:r>
          </w:p>
        </w:tc>
        <w:tc>
          <w:tcPr>
            <w:tcW w:w="791"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330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335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335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100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150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330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235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185</w:t>
            </w:r>
          </w:p>
        </w:tc>
      </w:tr>
      <w:tr w:rsidR="002C17B2" w:rsidRPr="00174E3E" w:rsidTr="00A759C6">
        <w:trPr>
          <w:trHeight w:val="225"/>
        </w:trPr>
        <w:tc>
          <w:tcPr>
            <w:tcW w:w="3004" w:type="dxa"/>
            <w:tcBorders>
              <w:top w:val="nil"/>
              <w:left w:val="single" w:sz="4" w:space="0" w:color="auto"/>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Contact Center Services</w:t>
            </w:r>
          </w:p>
        </w:tc>
        <w:tc>
          <w:tcPr>
            <w:tcW w:w="791"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1632</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932</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936</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62</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200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200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1570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732</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736</w:t>
            </w:r>
          </w:p>
        </w:tc>
      </w:tr>
      <w:tr w:rsidR="002C17B2" w:rsidRPr="00174E3E" w:rsidTr="00A759C6">
        <w:trPr>
          <w:trHeight w:val="225"/>
        </w:trPr>
        <w:tc>
          <w:tcPr>
            <w:tcW w:w="3004" w:type="dxa"/>
            <w:tcBorders>
              <w:top w:val="nil"/>
              <w:left w:val="single" w:sz="4" w:space="0" w:color="auto"/>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91"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r>
      <w:tr w:rsidR="002C17B2" w:rsidRPr="00174E3E" w:rsidTr="00A759C6">
        <w:trPr>
          <w:trHeight w:val="225"/>
        </w:trPr>
        <w:tc>
          <w:tcPr>
            <w:tcW w:w="3004" w:type="dxa"/>
            <w:tcBorders>
              <w:top w:val="nil"/>
              <w:left w:val="single" w:sz="4" w:space="0" w:color="auto"/>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b/>
                <w:bCs/>
                <w:color w:val="000000"/>
                <w:sz w:val="20"/>
                <w:szCs w:val="20"/>
              </w:rPr>
            </w:pPr>
            <w:r w:rsidRPr="00174E3E">
              <w:rPr>
                <w:rFonts w:eastAsia="Times New Roman" w:cs="Calibri"/>
                <w:b/>
                <w:bCs/>
                <w:color w:val="000000"/>
                <w:sz w:val="20"/>
                <w:szCs w:val="20"/>
              </w:rPr>
              <w:t>Language and Culture</w:t>
            </w:r>
          </w:p>
        </w:tc>
        <w:tc>
          <w:tcPr>
            <w:tcW w:w="791"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r>
      <w:tr w:rsidR="002C17B2" w:rsidRPr="00174E3E" w:rsidTr="00A759C6">
        <w:trPr>
          <w:trHeight w:val="225"/>
        </w:trPr>
        <w:tc>
          <w:tcPr>
            <w:tcW w:w="3004" w:type="dxa"/>
            <w:tcBorders>
              <w:top w:val="nil"/>
              <w:left w:val="single" w:sz="4" w:space="0" w:color="auto"/>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English Language</w:t>
            </w:r>
          </w:p>
        </w:tc>
        <w:tc>
          <w:tcPr>
            <w:tcW w:w="791"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330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335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335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130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600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250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200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-265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85</w:t>
            </w:r>
          </w:p>
        </w:tc>
      </w:tr>
      <w:tr w:rsidR="002C17B2" w:rsidRPr="00174E3E" w:rsidTr="00A759C6">
        <w:trPr>
          <w:trHeight w:val="225"/>
        </w:trPr>
        <w:tc>
          <w:tcPr>
            <w:tcW w:w="3004" w:type="dxa"/>
            <w:tcBorders>
              <w:top w:val="nil"/>
              <w:left w:val="single" w:sz="4" w:space="0" w:color="auto"/>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91"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r>
      <w:tr w:rsidR="002C17B2" w:rsidRPr="00174E3E" w:rsidTr="00A759C6">
        <w:trPr>
          <w:trHeight w:val="225"/>
        </w:trPr>
        <w:tc>
          <w:tcPr>
            <w:tcW w:w="3004" w:type="dxa"/>
            <w:tcBorders>
              <w:top w:val="nil"/>
              <w:left w:val="single" w:sz="4" w:space="0" w:color="auto"/>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b/>
                <w:bCs/>
                <w:color w:val="000000"/>
                <w:sz w:val="20"/>
                <w:szCs w:val="20"/>
              </w:rPr>
            </w:pPr>
            <w:r w:rsidRPr="00174E3E">
              <w:rPr>
                <w:rFonts w:eastAsia="Times New Roman" w:cs="Calibri"/>
                <w:b/>
                <w:bCs/>
                <w:color w:val="000000"/>
                <w:sz w:val="20"/>
                <w:szCs w:val="20"/>
              </w:rPr>
              <w:t>Land Transportation</w:t>
            </w:r>
          </w:p>
        </w:tc>
        <w:tc>
          <w:tcPr>
            <w:tcW w:w="791"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r>
      <w:tr w:rsidR="002C17B2" w:rsidRPr="00174E3E" w:rsidTr="00A759C6">
        <w:trPr>
          <w:trHeight w:val="225"/>
        </w:trPr>
        <w:tc>
          <w:tcPr>
            <w:tcW w:w="3004" w:type="dxa"/>
            <w:tcBorders>
              <w:top w:val="nil"/>
              <w:left w:val="single" w:sz="4" w:space="0" w:color="auto"/>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Driving (NCII &amp; NCIII)</w:t>
            </w:r>
          </w:p>
        </w:tc>
        <w:tc>
          <w:tcPr>
            <w:tcW w:w="791"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1665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1665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1670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3849</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3850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1148</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-2184</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-2185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522</w:t>
            </w:r>
          </w:p>
        </w:tc>
      </w:tr>
      <w:tr w:rsidR="002C17B2" w:rsidRPr="00174E3E" w:rsidTr="00A759C6">
        <w:trPr>
          <w:trHeight w:val="225"/>
        </w:trPr>
        <w:tc>
          <w:tcPr>
            <w:tcW w:w="3004" w:type="dxa"/>
            <w:tcBorders>
              <w:top w:val="nil"/>
              <w:left w:val="single" w:sz="4" w:space="0" w:color="auto"/>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91"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r>
      <w:tr w:rsidR="002C17B2" w:rsidRPr="00174E3E" w:rsidTr="00A759C6">
        <w:trPr>
          <w:trHeight w:val="225"/>
        </w:trPr>
        <w:tc>
          <w:tcPr>
            <w:tcW w:w="3004" w:type="dxa"/>
            <w:tcBorders>
              <w:top w:val="nil"/>
              <w:left w:val="single" w:sz="4" w:space="0" w:color="auto"/>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b/>
                <w:bCs/>
                <w:color w:val="000000"/>
                <w:sz w:val="20"/>
                <w:szCs w:val="20"/>
              </w:rPr>
            </w:pPr>
            <w:r w:rsidRPr="00174E3E">
              <w:rPr>
                <w:rFonts w:eastAsia="Times New Roman" w:cs="Calibri"/>
                <w:b/>
                <w:bCs/>
                <w:color w:val="000000"/>
                <w:sz w:val="20"/>
                <w:szCs w:val="20"/>
              </w:rPr>
              <w:t>Metals and Engineering</w:t>
            </w:r>
          </w:p>
        </w:tc>
        <w:tc>
          <w:tcPr>
            <w:tcW w:w="791"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r>
      <w:tr w:rsidR="002C17B2" w:rsidRPr="00174E3E" w:rsidTr="00A759C6">
        <w:trPr>
          <w:trHeight w:val="225"/>
        </w:trPr>
        <w:tc>
          <w:tcPr>
            <w:tcW w:w="3004" w:type="dxa"/>
            <w:tcBorders>
              <w:top w:val="nil"/>
              <w:left w:val="single" w:sz="4" w:space="0" w:color="auto"/>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GMAW NCII</w:t>
            </w:r>
          </w:p>
        </w:tc>
        <w:tc>
          <w:tcPr>
            <w:tcW w:w="791"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936</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532</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532</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62</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250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250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874</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282</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282</w:t>
            </w:r>
          </w:p>
        </w:tc>
      </w:tr>
      <w:tr w:rsidR="002C17B2" w:rsidRPr="00174E3E" w:rsidTr="00A759C6">
        <w:trPr>
          <w:trHeight w:val="225"/>
        </w:trPr>
        <w:tc>
          <w:tcPr>
            <w:tcW w:w="3004" w:type="dxa"/>
            <w:tcBorders>
              <w:top w:val="nil"/>
              <w:left w:val="single" w:sz="4" w:space="0" w:color="auto"/>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GTAW NCII</w:t>
            </w:r>
          </w:p>
        </w:tc>
        <w:tc>
          <w:tcPr>
            <w:tcW w:w="791"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936</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532</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532</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291</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750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750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645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-218</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-218</w:t>
            </w:r>
          </w:p>
        </w:tc>
      </w:tr>
      <w:tr w:rsidR="002C17B2" w:rsidRPr="00174E3E" w:rsidTr="00A759C6">
        <w:trPr>
          <w:trHeight w:val="225"/>
        </w:trPr>
        <w:tc>
          <w:tcPr>
            <w:tcW w:w="3004" w:type="dxa"/>
            <w:tcBorders>
              <w:top w:val="nil"/>
              <w:left w:val="single" w:sz="4" w:space="0" w:color="auto"/>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Machining</w:t>
            </w:r>
          </w:p>
        </w:tc>
        <w:tc>
          <w:tcPr>
            <w:tcW w:w="791"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398</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401</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401</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65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100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200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333</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301</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201</w:t>
            </w:r>
          </w:p>
        </w:tc>
      </w:tr>
      <w:tr w:rsidR="002C17B2" w:rsidRPr="00174E3E" w:rsidTr="00A759C6">
        <w:trPr>
          <w:trHeight w:val="225"/>
        </w:trPr>
        <w:tc>
          <w:tcPr>
            <w:tcW w:w="3004" w:type="dxa"/>
            <w:tcBorders>
              <w:top w:val="nil"/>
              <w:left w:val="single" w:sz="4" w:space="0" w:color="auto"/>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SMAW NCI</w:t>
            </w:r>
          </w:p>
        </w:tc>
        <w:tc>
          <w:tcPr>
            <w:tcW w:w="791"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1665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1665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1670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950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1375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1375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715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290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295</w:t>
            </w:r>
          </w:p>
        </w:tc>
      </w:tr>
      <w:tr w:rsidR="002C17B2" w:rsidRPr="00174E3E" w:rsidTr="00A759C6">
        <w:trPr>
          <w:trHeight w:val="225"/>
        </w:trPr>
        <w:tc>
          <w:tcPr>
            <w:tcW w:w="3004" w:type="dxa"/>
            <w:tcBorders>
              <w:top w:val="nil"/>
              <w:left w:val="single" w:sz="4" w:space="0" w:color="auto"/>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SMAW NCII</w:t>
            </w:r>
          </w:p>
        </w:tc>
        <w:tc>
          <w:tcPr>
            <w:tcW w:w="791"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1665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1665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1670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2000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2125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2125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-335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-460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-455</w:t>
            </w:r>
          </w:p>
        </w:tc>
      </w:tr>
      <w:tr w:rsidR="002C17B2" w:rsidRPr="00174E3E" w:rsidTr="00A759C6">
        <w:trPr>
          <w:trHeight w:val="225"/>
        </w:trPr>
        <w:tc>
          <w:tcPr>
            <w:tcW w:w="3004" w:type="dxa"/>
            <w:tcBorders>
              <w:top w:val="nil"/>
              <w:left w:val="single" w:sz="4" w:space="0" w:color="auto"/>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91"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r>
      <w:tr w:rsidR="002C17B2" w:rsidRPr="00174E3E" w:rsidTr="00A759C6">
        <w:trPr>
          <w:trHeight w:val="225"/>
        </w:trPr>
        <w:tc>
          <w:tcPr>
            <w:tcW w:w="3004" w:type="dxa"/>
            <w:tcBorders>
              <w:top w:val="nil"/>
              <w:left w:val="single" w:sz="4" w:space="0" w:color="auto"/>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b/>
                <w:bCs/>
                <w:color w:val="000000"/>
                <w:sz w:val="20"/>
                <w:szCs w:val="20"/>
              </w:rPr>
            </w:pPr>
            <w:r w:rsidRPr="00174E3E">
              <w:rPr>
                <w:rFonts w:eastAsia="Times New Roman" w:cs="Calibri"/>
                <w:b/>
                <w:bCs/>
                <w:color w:val="000000"/>
                <w:sz w:val="20"/>
                <w:szCs w:val="20"/>
              </w:rPr>
              <w:t>Processed Food and Beverages</w:t>
            </w:r>
          </w:p>
        </w:tc>
        <w:tc>
          <w:tcPr>
            <w:tcW w:w="791"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r>
      <w:tr w:rsidR="002C17B2" w:rsidRPr="00174E3E" w:rsidTr="00A759C6">
        <w:trPr>
          <w:trHeight w:val="225"/>
        </w:trPr>
        <w:tc>
          <w:tcPr>
            <w:tcW w:w="3004" w:type="dxa"/>
            <w:tcBorders>
              <w:top w:val="nil"/>
              <w:left w:val="single" w:sz="4" w:space="0" w:color="auto"/>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Banana Processing</w:t>
            </w:r>
          </w:p>
        </w:tc>
        <w:tc>
          <w:tcPr>
            <w:tcW w:w="791"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667</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667</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666</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100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150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667</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567</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516</w:t>
            </w:r>
          </w:p>
        </w:tc>
      </w:tr>
      <w:tr w:rsidR="002C17B2" w:rsidRPr="00174E3E" w:rsidTr="00A759C6">
        <w:trPr>
          <w:trHeight w:val="225"/>
        </w:trPr>
        <w:tc>
          <w:tcPr>
            <w:tcW w:w="3004" w:type="dxa"/>
            <w:tcBorders>
              <w:top w:val="nil"/>
              <w:left w:val="single" w:sz="4" w:space="0" w:color="auto"/>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Cacao Processing</w:t>
            </w:r>
          </w:p>
        </w:tc>
        <w:tc>
          <w:tcPr>
            <w:tcW w:w="791"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330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335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335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50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100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330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285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235</w:t>
            </w:r>
          </w:p>
        </w:tc>
      </w:tr>
      <w:tr w:rsidR="002C17B2" w:rsidRPr="00174E3E" w:rsidTr="00A759C6">
        <w:trPr>
          <w:trHeight w:val="225"/>
        </w:trPr>
        <w:tc>
          <w:tcPr>
            <w:tcW w:w="3004" w:type="dxa"/>
            <w:tcBorders>
              <w:top w:val="nil"/>
              <w:left w:val="single" w:sz="4" w:space="0" w:color="auto"/>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Calamansi Processing</w:t>
            </w:r>
          </w:p>
        </w:tc>
        <w:tc>
          <w:tcPr>
            <w:tcW w:w="791"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333</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333</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334</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50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100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333</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283</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234</w:t>
            </w:r>
          </w:p>
        </w:tc>
      </w:tr>
      <w:tr w:rsidR="002C17B2" w:rsidRPr="00174E3E" w:rsidTr="00A759C6">
        <w:trPr>
          <w:trHeight w:val="225"/>
        </w:trPr>
        <w:tc>
          <w:tcPr>
            <w:tcW w:w="3004" w:type="dxa"/>
            <w:tcBorders>
              <w:top w:val="nil"/>
              <w:left w:val="single" w:sz="4" w:space="0" w:color="auto"/>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Coffee Processing</w:t>
            </w:r>
          </w:p>
        </w:tc>
        <w:tc>
          <w:tcPr>
            <w:tcW w:w="791"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330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335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335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50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100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330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285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235</w:t>
            </w:r>
          </w:p>
        </w:tc>
      </w:tr>
      <w:tr w:rsidR="002C17B2" w:rsidRPr="00174E3E" w:rsidTr="00A759C6">
        <w:trPr>
          <w:trHeight w:val="225"/>
        </w:trPr>
        <w:tc>
          <w:tcPr>
            <w:tcW w:w="3004" w:type="dxa"/>
            <w:tcBorders>
              <w:top w:val="nil"/>
              <w:left w:val="single" w:sz="4" w:space="0" w:color="auto"/>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Fermentation and Pickling</w:t>
            </w:r>
          </w:p>
        </w:tc>
        <w:tc>
          <w:tcPr>
            <w:tcW w:w="791"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1665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1665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1670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200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856</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2000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1465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809</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-330</w:t>
            </w:r>
          </w:p>
        </w:tc>
      </w:tr>
      <w:tr w:rsidR="002C17B2" w:rsidRPr="00174E3E" w:rsidTr="00A759C6">
        <w:trPr>
          <w:trHeight w:val="225"/>
        </w:trPr>
        <w:tc>
          <w:tcPr>
            <w:tcW w:w="3004" w:type="dxa"/>
            <w:tcBorders>
              <w:top w:val="nil"/>
              <w:left w:val="single" w:sz="4" w:space="0" w:color="auto"/>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Package Finish Processed Products</w:t>
            </w:r>
          </w:p>
        </w:tc>
        <w:tc>
          <w:tcPr>
            <w:tcW w:w="791"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1665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1665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1670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50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100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100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1615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1565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1570</w:t>
            </w:r>
          </w:p>
        </w:tc>
      </w:tr>
      <w:tr w:rsidR="002C17B2" w:rsidRPr="00174E3E" w:rsidTr="00A759C6">
        <w:trPr>
          <w:trHeight w:val="225"/>
        </w:trPr>
        <w:tc>
          <w:tcPr>
            <w:tcW w:w="3004" w:type="dxa"/>
            <w:tcBorders>
              <w:top w:val="nil"/>
              <w:left w:val="single" w:sz="4" w:space="0" w:color="auto"/>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Process Food by Salting Curing and Smoking</w:t>
            </w:r>
          </w:p>
        </w:tc>
        <w:tc>
          <w:tcPr>
            <w:tcW w:w="791"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1665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1665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1670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200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1511</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2000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1465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154</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-330</w:t>
            </w:r>
          </w:p>
        </w:tc>
      </w:tr>
      <w:tr w:rsidR="002C17B2" w:rsidRPr="00174E3E" w:rsidTr="00A759C6">
        <w:trPr>
          <w:trHeight w:val="225"/>
        </w:trPr>
        <w:tc>
          <w:tcPr>
            <w:tcW w:w="3004" w:type="dxa"/>
            <w:tcBorders>
              <w:top w:val="nil"/>
              <w:left w:val="single" w:sz="4" w:space="0" w:color="auto"/>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Process Food by Sugar Concentration</w:t>
            </w:r>
          </w:p>
        </w:tc>
        <w:tc>
          <w:tcPr>
            <w:tcW w:w="791"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1665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1665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1670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200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770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2000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1465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895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-330</w:t>
            </w:r>
          </w:p>
        </w:tc>
      </w:tr>
      <w:tr w:rsidR="002C17B2" w:rsidRPr="00174E3E" w:rsidTr="00A759C6">
        <w:trPr>
          <w:trHeight w:val="225"/>
        </w:trPr>
        <w:tc>
          <w:tcPr>
            <w:tcW w:w="3004" w:type="dxa"/>
            <w:tcBorders>
              <w:top w:val="nil"/>
              <w:left w:val="single" w:sz="4" w:space="0" w:color="auto"/>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Serpentina / Stevia Processing</w:t>
            </w:r>
          </w:p>
        </w:tc>
        <w:tc>
          <w:tcPr>
            <w:tcW w:w="791"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330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335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335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100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200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330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235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135</w:t>
            </w:r>
          </w:p>
        </w:tc>
      </w:tr>
      <w:tr w:rsidR="002C17B2" w:rsidRPr="00174E3E" w:rsidTr="00A759C6">
        <w:trPr>
          <w:trHeight w:val="225"/>
        </w:trPr>
        <w:tc>
          <w:tcPr>
            <w:tcW w:w="3004" w:type="dxa"/>
            <w:tcBorders>
              <w:top w:val="nil"/>
              <w:left w:val="single" w:sz="4" w:space="0" w:color="auto"/>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Turmeric Processing</w:t>
            </w:r>
          </w:p>
        </w:tc>
        <w:tc>
          <w:tcPr>
            <w:tcW w:w="791"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330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335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335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100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200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330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235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135</w:t>
            </w:r>
          </w:p>
        </w:tc>
      </w:tr>
      <w:tr w:rsidR="002C17B2" w:rsidRPr="00174E3E" w:rsidTr="00A759C6">
        <w:trPr>
          <w:trHeight w:val="225"/>
        </w:trPr>
        <w:tc>
          <w:tcPr>
            <w:tcW w:w="3004" w:type="dxa"/>
            <w:tcBorders>
              <w:top w:val="nil"/>
              <w:left w:val="single" w:sz="4" w:space="0" w:color="auto"/>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91"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r>
      <w:tr w:rsidR="002C17B2" w:rsidRPr="00174E3E" w:rsidTr="00A759C6">
        <w:trPr>
          <w:trHeight w:val="225"/>
        </w:trPr>
        <w:tc>
          <w:tcPr>
            <w:tcW w:w="3004" w:type="dxa"/>
            <w:tcBorders>
              <w:top w:val="nil"/>
              <w:left w:val="single" w:sz="4" w:space="0" w:color="auto"/>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b/>
                <w:bCs/>
                <w:color w:val="000000"/>
                <w:sz w:val="20"/>
                <w:szCs w:val="20"/>
              </w:rPr>
            </w:pPr>
            <w:r w:rsidRPr="00174E3E">
              <w:rPr>
                <w:rFonts w:eastAsia="Times New Roman" w:cs="Calibri"/>
                <w:b/>
                <w:bCs/>
                <w:color w:val="000000"/>
                <w:sz w:val="20"/>
                <w:szCs w:val="20"/>
              </w:rPr>
              <w:t>Semi-conductor and Electronics</w:t>
            </w:r>
          </w:p>
        </w:tc>
        <w:tc>
          <w:tcPr>
            <w:tcW w:w="791"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r>
      <w:tr w:rsidR="002C17B2" w:rsidRPr="00174E3E" w:rsidTr="00A759C6">
        <w:trPr>
          <w:trHeight w:val="225"/>
        </w:trPr>
        <w:tc>
          <w:tcPr>
            <w:tcW w:w="3004" w:type="dxa"/>
            <w:tcBorders>
              <w:top w:val="nil"/>
              <w:left w:val="single" w:sz="4" w:space="0" w:color="auto"/>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Cellular Phone Servicing</w:t>
            </w:r>
          </w:p>
        </w:tc>
        <w:tc>
          <w:tcPr>
            <w:tcW w:w="791"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165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165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170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61</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231</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150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104</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-66</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20</w:t>
            </w:r>
          </w:p>
        </w:tc>
      </w:tr>
      <w:tr w:rsidR="002C17B2" w:rsidRPr="00174E3E" w:rsidTr="00A759C6">
        <w:trPr>
          <w:trHeight w:val="225"/>
        </w:trPr>
        <w:tc>
          <w:tcPr>
            <w:tcW w:w="3004" w:type="dxa"/>
            <w:tcBorders>
              <w:top w:val="nil"/>
              <w:left w:val="single" w:sz="4" w:space="0" w:color="auto"/>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Computer Systems Servicing</w:t>
            </w:r>
          </w:p>
        </w:tc>
        <w:tc>
          <w:tcPr>
            <w:tcW w:w="791"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500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500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500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2000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1500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2043</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-1500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-1000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-1543</w:t>
            </w:r>
          </w:p>
        </w:tc>
      </w:tr>
      <w:tr w:rsidR="002C17B2" w:rsidRPr="00174E3E" w:rsidTr="00A759C6">
        <w:trPr>
          <w:trHeight w:val="225"/>
        </w:trPr>
        <w:tc>
          <w:tcPr>
            <w:tcW w:w="3004" w:type="dxa"/>
            <w:tcBorders>
              <w:top w:val="nil"/>
              <w:left w:val="single" w:sz="4" w:space="0" w:color="auto"/>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Electronics Products Assembly and Servicing</w:t>
            </w:r>
          </w:p>
        </w:tc>
        <w:tc>
          <w:tcPr>
            <w:tcW w:w="791"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1400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800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800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861</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1375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1000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539</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-575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-200</w:t>
            </w:r>
          </w:p>
        </w:tc>
      </w:tr>
      <w:tr w:rsidR="002C17B2" w:rsidRPr="00174E3E" w:rsidTr="00A759C6">
        <w:trPr>
          <w:trHeight w:val="225"/>
        </w:trPr>
        <w:tc>
          <w:tcPr>
            <w:tcW w:w="3004" w:type="dxa"/>
            <w:tcBorders>
              <w:top w:val="nil"/>
              <w:left w:val="single" w:sz="4" w:space="0" w:color="auto"/>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91"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r>
      <w:tr w:rsidR="002C17B2" w:rsidRPr="00174E3E" w:rsidTr="00A759C6">
        <w:trPr>
          <w:trHeight w:val="225"/>
        </w:trPr>
        <w:tc>
          <w:tcPr>
            <w:tcW w:w="3004" w:type="dxa"/>
            <w:tcBorders>
              <w:top w:val="nil"/>
              <w:left w:val="single" w:sz="4" w:space="0" w:color="auto"/>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b/>
                <w:bCs/>
                <w:color w:val="000000"/>
                <w:sz w:val="20"/>
                <w:szCs w:val="20"/>
              </w:rPr>
            </w:pPr>
            <w:r w:rsidRPr="00174E3E">
              <w:rPr>
                <w:rFonts w:eastAsia="Times New Roman" w:cs="Calibri"/>
                <w:b/>
                <w:bCs/>
                <w:color w:val="000000"/>
                <w:sz w:val="20"/>
                <w:szCs w:val="20"/>
              </w:rPr>
              <w:t>Tourism (Hotels and Restaurants)</w:t>
            </w:r>
          </w:p>
        </w:tc>
        <w:tc>
          <w:tcPr>
            <w:tcW w:w="791"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r>
      <w:tr w:rsidR="002C17B2" w:rsidRPr="00174E3E" w:rsidTr="00A759C6">
        <w:trPr>
          <w:trHeight w:val="225"/>
        </w:trPr>
        <w:tc>
          <w:tcPr>
            <w:tcW w:w="3004" w:type="dxa"/>
            <w:tcBorders>
              <w:top w:val="nil"/>
              <w:left w:val="single" w:sz="4" w:space="0" w:color="auto"/>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Baking/Bread and Pastry Production</w:t>
            </w:r>
          </w:p>
        </w:tc>
        <w:tc>
          <w:tcPr>
            <w:tcW w:w="791"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165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165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170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1661</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2000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200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-1496</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-1835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-30</w:t>
            </w:r>
          </w:p>
        </w:tc>
      </w:tr>
      <w:tr w:rsidR="002C17B2" w:rsidRPr="00174E3E" w:rsidTr="00A759C6">
        <w:trPr>
          <w:trHeight w:val="225"/>
        </w:trPr>
        <w:tc>
          <w:tcPr>
            <w:tcW w:w="3004" w:type="dxa"/>
            <w:tcBorders>
              <w:top w:val="nil"/>
              <w:left w:val="single" w:sz="4" w:space="0" w:color="auto"/>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Bartending</w:t>
            </w:r>
          </w:p>
        </w:tc>
        <w:tc>
          <w:tcPr>
            <w:tcW w:w="791"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330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335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335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525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500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200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-195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-165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135</w:t>
            </w:r>
          </w:p>
        </w:tc>
      </w:tr>
      <w:tr w:rsidR="002C17B2" w:rsidRPr="00174E3E" w:rsidTr="00A759C6">
        <w:trPr>
          <w:trHeight w:val="225"/>
        </w:trPr>
        <w:tc>
          <w:tcPr>
            <w:tcW w:w="3004" w:type="dxa"/>
            <w:tcBorders>
              <w:top w:val="nil"/>
              <w:left w:val="single" w:sz="4" w:space="0" w:color="auto"/>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Cookery</w:t>
            </w:r>
          </w:p>
        </w:tc>
        <w:tc>
          <w:tcPr>
            <w:tcW w:w="791"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567</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567</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566</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800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800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567</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-233</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-233</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w:t>
            </w:r>
          </w:p>
        </w:tc>
      </w:tr>
      <w:tr w:rsidR="002C17B2" w:rsidRPr="00174E3E" w:rsidTr="00A759C6">
        <w:trPr>
          <w:trHeight w:val="225"/>
        </w:trPr>
        <w:tc>
          <w:tcPr>
            <w:tcW w:w="3004" w:type="dxa"/>
            <w:tcBorders>
              <w:top w:val="nil"/>
              <w:left w:val="single" w:sz="4" w:space="0" w:color="auto"/>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xml:space="preserve">Events Management Services </w:t>
            </w:r>
          </w:p>
        </w:tc>
        <w:tc>
          <w:tcPr>
            <w:tcW w:w="791"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282</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284</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284</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1000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460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284</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-718</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-176</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0</w:t>
            </w:r>
          </w:p>
        </w:tc>
      </w:tr>
      <w:tr w:rsidR="002C17B2" w:rsidRPr="00174E3E" w:rsidTr="00A759C6">
        <w:trPr>
          <w:trHeight w:val="225"/>
        </w:trPr>
        <w:tc>
          <w:tcPr>
            <w:tcW w:w="3004" w:type="dxa"/>
            <w:tcBorders>
              <w:top w:val="nil"/>
              <w:left w:val="single" w:sz="4" w:space="0" w:color="auto"/>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Food &amp; Beverage Services</w:t>
            </w:r>
          </w:p>
        </w:tc>
        <w:tc>
          <w:tcPr>
            <w:tcW w:w="791"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248</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251</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251</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2395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500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250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-2147</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-249</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w:t>
            </w:r>
          </w:p>
        </w:tc>
      </w:tr>
      <w:tr w:rsidR="002C17B2" w:rsidRPr="00174E3E" w:rsidTr="00A759C6">
        <w:trPr>
          <w:trHeight w:val="225"/>
        </w:trPr>
        <w:tc>
          <w:tcPr>
            <w:tcW w:w="3004" w:type="dxa"/>
            <w:tcBorders>
              <w:top w:val="nil"/>
              <w:left w:val="single" w:sz="4" w:space="0" w:color="auto"/>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Front Office Services</w:t>
            </w:r>
          </w:p>
        </w:tc>
        <w:tc>
          <w:tcPr>
            <w:tcW w:w="791"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252</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252</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251</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375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375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252</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-123</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-123</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w:t>
            </w:r>
          </w:p>
        </w:tc>
      </w:tr>
      <w:tr w:rsidR="002C17B2" w:rsidRPr="00174E3E" w:rsidTr="00A759C6">
        <w:trPr>
          <w:trHeight w:val="225"/>
        </w:trPr>
        <w:tc>
          <w:tcPr>
            <w:tcW w:w="3004" w:type="dxa"/>
            <w:tcBorders>
              <w:top w:val="nil"/>
              <w:left w:val="single" w:sz="4" w:space="0" w:color="auto"/>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xml:space="preserve">Housekeeping </w:t>
            </w:r>
          </w:p>
        </w:tc>
        <w:tc>
          <w:tcPr>
            <w:tcW w:w="791"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365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367</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368</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1187</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1000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367</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-822</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-633</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w:t>
            </w:r>
          </w:p>
        </w:tc>
      </w:tr>
      <w:tr w:rsidR="002C17B2" w:rsidRPr="00174E3E" w:rsidTr="00A759C6">
        <w:trPr>
          <w:trHeight w:val="225"/>
        </w:trPr>
        <w:tc>
          <w:tcPr>
            <w:tcW w:w="3004" w:type="dxa"/>
            <w:tcBorders>
              <w:top w:val="nil"/>
              <w:left w:val="single" w:sz="4" w:space="0" w:color="auto"/>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Tour Guiding</w:t>
            </w:r>
          </w:p>
        </w:tc>
        <w:tc>
          <w:tcPr>
            <w:tcW w:w="791"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432</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433</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435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450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450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434</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-18</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-17</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w:t>
            </w:r>
          </w:p>
        </w:tc>
      </w:tr>
      <w:tr w:rsidR="002C17B2" w:rsidRPr="00174E3E" w:rsidTr="00A759C6">
        <w:trPr>
          <w:trHeight w:val="225"/>
        </w:trPr>
        <w:tc>
          <w:tcPr>
            <w:tcW w:w="3004" w:type="dxa"/>
            <w:tcBorders>
              <w:top w:val="nil"/>
              <w:left w:val="single" w:sz="4" w:space="0" w:color="auto"/>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Tourism Promotion Services</w:t>
            </w:r>
          </w:p>
        </w:tc>
        <w:tc>
          <w:tcPr>
            <w:tcW w:w="791"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282</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284</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284</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542</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650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150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-260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-366</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134</w:t>
            </w:r>
          </w:p>
        </w:tc>
      </w:tr>
      <w:tr w:rsidR="002C17B2" w:rsidRPr="00174E3E" w:rsidTr="00A759C6">
        <w:trPr>
          <w:trHeight w:val="225"/>
        </w:trPr>
        <w:tc>
          <w:tcPr>
            <w:tcW w:w="3004" w:type="dxa"/>
            <w:tcBorders>
              <w:top w:val="nil"/>
              <w:left w:val="single" w:sz="4" w:space="0" w:color="auto"/>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91"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r>
      <w:tr w:rsidR="002C17B2" w:rsidRPr="00174E3E" w:rsidTr="00A759C6">
        <w:trPr>
          <w:trHeight w:val="225"/>
        </w:trPr>
        <w:tc>
          <w:tcPr>
            <w:tcW w:w="3004" w:type="dxa"/>
            <w:tcBorders>
              <w:top w:val="nil"/>
              <w:left w:val="single" w:sz="4" w:space="0" w:color="auto"/>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b/>
                <w:bCs/>
                <w:color w:val="000000"/>
                <w:sz w:val="20"/>
                <w:szCs w:val="20"/>
              </w:rPr>
            </w:pPr>
            <w:r w:rsidRPr="00174E3E">
              <w:rPr>
                <w:rFonts w:eastAsia="Times New Roman" w:cs="Calibri"/>
                <w:b/>
                <w:bCs/>
                <w:color w:val="000000"/>
                <w:sz w:val="20"/>
                <w:szCs w:val="20"/>
              </w:rPr>
              <w:t>TVET</w:t>
            </w:r>
          </w:p>
        </w:tc>
        <w:tc>
          <w:tcPr>
            <w:tcW w:w="791"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r>
      <w:tr w:rsidR="002C17B2" w:rsidRPr="00174E3E" w:rsidTr="00A759C6">
        <w:trPr>
          <w:trHeight w:val="225"/>
        </w:trPr>
        <w:tc>
          <w:tcPr>
            <w:tcW w:w="3004" w:type="dxa"/>
            <w:tcBorders>
              <w:top w:val="nil"/>
              <w:left w:val="single" w:sz="4" w:space="0" w:color="auto"/>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ICT Instructor/Trainers Methodology Level I</w:t>
            </w:r>
          </w:p>
        </w:tc>
        <w:tc>
          <w:tcPr>
            <w:tcW w:w="791"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165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165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170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242</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625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25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-77</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-460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145</w:t>
            </w:r>
          </w:p>
        </w:tc>
      </w:tr>
      <w:tr w:rsidR="002C17B2" w:rsidRPr="00174E3E" w:rsidTr="00A759C6">
        <w:trPr>
          <w:trHeight w:val="225"/>
        </w:trPr>
        <w:tc>
          <w:tcPr>
            <w:tcW w:w="3004" w:type="dxa"/>
            <w:tcBorders>
              <w:top w:val="nil"/>
              <w:left w:val="single" w:sz="4" w:space="0" w:color="auto"/>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91"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r>
      <w:tr w:rsidR="002C17B2" w:rsidRPr="00174E3E" w:rsidTr="00A759C6">
        <w:trPr>
          <w:trHeight w:val="225"/>
        </w:trPr>
        <w:tc>
          <w:tcPr>
            <w:tcW w:w="3004" w:type="dxa"/>
            <w:tcBorders>
              <w:top w:val="nil"/>
              <w:left w:val="single" w:sz="4" w:space="0" w:color="auto"/>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b/>
                <w:bCs/>
                <w:color w:val="000000"/>
                <w:sz w:val="20"/>
                <w:szCs w:val="20"/>
              </w:rPr>
            </w:pPr>
            <w:r w:rsidRPr="00174E3E">
              <w:rPr>
                <w:rFonts w:eastAsia="Times New Roman" w:cs="Calibri"/>
                <w:b/>
                <w:bCs/>
                <w:color w:val="000000"/>
                <w:sz w:val="20"/>
                <w:szCs w:val="20"/>
              </w:rPr>
              <w:t>Utilities</w:t>
            </w:r>
          </w:p>
        </w:tc>
        <w:tc>
          <w:tcPr>
            <w:tcW w:w="791"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r>
      <w:tr w:rsidR="002C17B2" w:rsidRPr="00174E3E" w:rsidTr="00A759C6">
        <w:trPr>
          <w:trHeight w:val="450"/>
        </w:trPr>
        <w:tc>
          <w:tcPr>
            <w:tcW w:w="3004" w:type="dxa"/>
            <w:tcBorders>
              <w:top w:val="nil"/>
              <w:left w:val="single" w:sz="4" w:space="0" w:color="auto"/>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xml:space="preserve">Transmission Line Installation and Maintenance </w:t>
            </w:r>
          </w:p>
        </w:tc>
        <w:tc>
          <w:tcPr>
            <w:tcW w:w="791"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1665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1665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1670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25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25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1665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1640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1645</w:t>
            </w:r>
          </w:p>
        </w:tc>
      </w:tr>
      <w:tr w:rsidR="002C17B2" w:rsidRPr="00174E3E" w:rsidTr="00A759C6">
        <w:trPr>
          <w:trHeight w:val="225"/>
        </w:trPr>
        <w:tc>
          <w:tcPr>
            <w:tcW w:w="3004" w:type="dxa"/>
            <w:tcBorders>
              <w:top w:val="nil"/>
              <w:left w:val="single" w:sz="4" w:space="0" w:color="auto"/>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91"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r>
      <w:tr w:rsidR="002C17B2" w:rsidRPr="00174E3E" w:rsidTr="00A759C6">
        <w:trPr>
          <w:trHeight w:val="225"/>
        </w:trPr>
        <w:tc>
          <w:tcPr>
            <w:tcW w:w="3004" w:type="dxa"/>
            <w:tcBorders>
              <w:top w:val="nil"/>
              <w:left w:val="single" w:sz="4" w:space="0" w:color="auto"/>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b/>
                <w:bCs/>
                <w:color w:val="000000"/>
                <w:sz w:val="20"/>
                <w:szCs w:val="20"/>
              </w:rPr>
            </w:pPr>
            <w:r w:rsidRPr="00174E3E">
              <w:rPr>
                <w:rFonts w:eastAsia="Times New Roman" w:cs="Calibri"/>
                <w:b/>
                <w:bCs/>
                <w:color w:val="000000"/>
                <w:sz w:val="20"/>
                <w:szCs w:val="20"/>
              </w:rPr>
              <w:t>Wholesale and Retail Trading</w:t>
            </w:r>
          </w:p>
        </w:tc>
        <w:tc>
          <w:tcPr>
            <w:tcW w:w="791"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r>
      <w:tr w:rsidR="002C17B2" w:rsidRPr="00174E3E" w:rsidTr="00A759C6">
        <w:trPr>
          <w:trHeight w:val="225"/>
        </w:trPr>
        <w:tc>
          <w:tcPr>
            <w:tcW w:w="3004" w:type="dxa"/>
            <w:tcBorders>
              <w:top w:val="nil"/>
              <w:left w:val="single" w:sz="4" w:space="0" w:color="auto"/>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xml:space="preserve">Customer Services </w:t>
            </w:r>
          </w:p>
        </w:tc>
        <w:tc>
          <w:tcPr>
            <w:tcW w:w="791"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330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335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335</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10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506</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484</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320</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-171</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-149</w:t>
            </w:r>
          </w:p>
        </w:tc>
      </w:tr>
      <w:tr w:rsidR="002C17B2" w:rsidRPr="00174E3E" w:rsidTr="00A759C6">
        <w:trPr>
          <w:trHeight w:val="225"/>
        </w:trPr>
        <w:tc>
          <w:tcPr>
            <w:tcW w:w="3004" w:type="dxa"/>
            <w:tcBorders>
              <w:top w:val="nil"/>
              <w:left w:val="single" w:sz="4" w:space="0" w:color="auto"/>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91"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r>
      <w:tr w:rsidR="002C17B2" w:rsidRPr="00174E3E" w:rsidTr="00A759C6">
        <w:trPr>
          <w:trHeight w:val="225"/>
        </w:trPr>
        <w:tc>
          <w:tcPr>
            <w:tcW w:w="3004" w:type="dxa"/>
            <w:tcBorders>
              <w:top w:val="nil"/>
              <w:left w:val="single" w:sz="4" w:space="0" w:color="auto"/>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w:t>
            </w:r>
          </w:p>
        </w:tc>
        <w:tc>
          <w:tcPr>
            <w:tcW w:w="791"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xml:space="preserve">  72,697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xml:space="preserve"> 70,511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xml:space="preserve">    70,627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 xml:space="preserve">  29,877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 xml:space="preserve"> 41,148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sz w:val="20"/>
                <w:szCs w:val="20"/>
              </w:rPr>
            </w:pPr>
            <w:r w:rsidRPr="00174E3E">
              <w:rPr>
                <w:rFonts w:eastAsia="Times New Roman" w:cs="Calibri"/>
                <w:sz w:val="20"/>
                <w:szCs w:val="20"/>
              </w:rPr>
              <w:t xml:space="preserve">  37,910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xml:space="preserve"> 42,820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xml:space="preserve">  29,363 </w:t>
            </w:r>
          </w:p>
        </w:tc>
        <w:tc>
          <w:tcPr>
            <w:tcW w:w="773" w:type="dxa"/>
            <w:tcBorders>
              <w:top w:val="nil"/>
              <w:left w:val="nil"/>
              <w:bottom w:val="single" w:sz="4" w:space="0" w:color="auto"/>
              <w:right w:val="single" w:sz="4" w:space="0" w:color="auto"/>
            </w:tcBorders>
            <w:shd w:val="clear" w:color="auto" w:fill="auto"/>
            <w:vAlign w:val="center"/>
            <w:hideMark/>
          </w:tcPr>
          <w:p w:rsidR="002C17B2" w:rsidRPr="00174E3E" w:rsidRDefault="002C17B2" w:rsidP="004834E6">
            <w:pPr>
              <w:spacing w:after="0" w:line="240" w:lineRule="auto"/>
              <w:jc w:val="both"/>
              <w:rPr>
                <w:rFonts w:eastAsia="Times New Roman" w:cs="Calibri"/>
                <w:color w:val="000000"/>
                <w:sz w:val="20"/>
                <w:szCs w:val="20"/>
              </w:rPr>
            </w:pPr>
            <w:r w:rsidRPr="00174E3E">
              <w:rPr>
                <w:rFonts w:eastAsia="Times New Roman" w:cs="Calibri"/>
                <w:color w:val="000000"/>
                <w:sz w:val="20"/>
                <w:szCs w:val="20"/>
              </w:rPr>
              <w:t xml:space="preserve"> 32,717 </w:t>
            </w:r>
          </w:p>
        </w:tc>
      </w:tr>
    </w:tbl>
    <w:p w:rsidR="002C17B2" w:rsidRPr="00DF3598" w:rsidRDefault="002C17B2" w:rsidP="004834E6">
      <w:pPr>
        <w:spacing w:after="0" w:line="240" w:lineRule="auto"/>
        <w:jc w:val="both"/>
        <w:rPr>
          <w:rFonts w:cs="Arial"/>
          <w:sz w:val="24"/>
          <w:szCs w:val="24"/>
        </w:rPr>
      </w:pPr>
    </w:p>
    <w:p w:rsidR="002C17B2" w:rsidRPr="00DF3598" w:rsidRDefault="002C17B2" w:rsidP="004834E6">
      <w:pPr>
        <w:tabs>
          <w:tab w:val="left" w:pos="720"/>
          <w:tab w:val="left" w:pos="1620"/>
        </w:tabs>
        <w:spacing w:after="0" w:line="240" w:lineRule="auto"/>
        <w:jc w:val="both"/>
        <w:rPr>
          <w:rFonts w:cs="Arial"/>
          <w:b/>
          <w:sz w:val="24"/>
          <w:szCs w:val="24"/>
          <w:u w:val="single"/>
        </w:rPr>
      </w:pPr>
      <w:r w:rsidRPr="00DF3598">
        <w:rPr>
          <w:rFonts w:cs="Arial"/>
          <w:b/>
          <w:sz w:val="24"/>
          <w:szCs w:val="24"/>
          <w:u w:val="single"/>
        </w:rPr>
        <w:t>Strengthened MSMEs</w:t>
      </w:r>
    </w:p>
    <w:p w:rsidR="002C17B2" w:rsidRPr="00DF3598" w:rsidRDefault="002C17B2" w:rsidP="004834E6">
      <w:pPr>
        <w:spacing w:after="0" w:line="240" w:lineRule="auto"/>
        <w:jc w:val="both"/>
        <w:rPr>
          <w:rFonts w:cs="Arial"/>
          <w:sz w:val="24"/>
          <w:szCs w:val="24"/>
        </w:rPr>
      </w:pPr>
    </w:p>
    <w:p w:rsidR="002C17B2" w:rsidRPr="00DF3598" w:rsidRDefault="002C17B2" w:rsidP="004834E6">
      <w:pPr>
        <w:spacing w:after="0" w:line="240" w:lineRule="auto"/>
        <w:ind w:firstLine="720"/>
        <w:jc w:val="both"/>
        <w:rPr>
          <w:rStyle w:val="apple-style-span"/>
          <w:rFonts w:cs="Arial"/>
          <w:color w:val="000000"/>
          <w:sz w:val="24"/>
          <w:szCs w:val="24"/>
        </w:rPr>
      </w:pPr>
      <w:r w:rsidRPr="00DF3598">
        <w:rPr>
          <w:rFonts w:cs="Arial"/>
          <w:sz w:val="24"/>
          <w:szCs w:val="24"/>
        </w:rPr>
        <w:t xml:space="preserve">The Micro, small and medium enterprises (MSMEs) are vital engines of the Philippine economy, accounting for 99.6 percent of the total establishments and contributing about two-thirds of the country’s employment. Based on the 2015 census of the National Statistics Office, the MIMAROPA Region has 1,075 MSMEs or close to 2.3 percent of the total SMEs in the Philippines. They are engaged in wholesale and retail trade industries; manufacturing; hotels and restaurants; real estate, renting, and business activities; and other community, social, and personal services. </w:t>
      </w:r>
      <w:r w:rsidRPr="00DF3598">
        <w:rPr>
          <w:rStyle w:val="apple-style-span"/>
          <w:rFonts w:cs="Arial"/>
          <w:color w:val="000000"/>
          <w:sz w:val="24"/>
          <w:szCs w:val="24"/>
        </w:rPr>
        <w:t xml:space="preserve"> </w:t>
      </w:r>
    </w:p>
    <w:p w:rsidR="002C17B2" w:rsidRPr="00DF3598" w:rsidRDefault="002C17B2" w:rsidP="004834E6">
      <w:pPr>
        <w:spacing w:after="0" w:line="240" w:lineRule="auto"/>
        <w:ind w:left="720" w:hanging="720"/>
        <w:jc w:val="both"/>
        <w:rPr>
          <w:rStyle w:val="apple-style-span"/>
          <w:rFonts w:cs="Arial"/>
          <w:color w:val="000000"/>
          <w:sz w:val="24"/>
          <w:szCs w:val="24"/>
        </w:rPr>
      </w:pPr>
    </w:p>
    <w:p w:rsidR="002C17B2" w:rsidRPr="00DF3598" w:rsidRDefault="002C17B2" w:rsidP="004834E6">
      <w:pPr>
        <w:spacing w:after="0" w:line="240" w:lineRule="auto"/>
        <w:ind w:firstLine="720"/>
        <w:jc w:val="both"/>
        <w:rPr>
          <w:rFonts w:cs="Arial"/>
          <w:sz w:val="24"/>
          <w:szCs w:val="24"/>
        </w:rPr>
      </w:pPr>
      <w:r w:rsidRPr="00DF3598">
        <w:rPr>
          <w:rFonts w:cs="Arial"/>
          <w:sz w:val="24"/>
          <w:szCs w:val="24"/>
        </w:rPr>
        <w:t>As proof of its indispensability, MSMEs account for a quarter of the country’s total exports revenue. It is estimated that 60 percent of all exporters in the country belong to the MSME category and do business through subcontracting arrangement with large firms, or as suppliers to exporting companies. </w:t>
      </w:r>
    </w:p>
    <w:p w:rsidR="002C17B2" w:rsidRPr="00DF3598" w:rsidRDefault="002C17B2" w:rsidP="004834E6">
      <w:pPr>
        <w:spacing w:after="0" w:line="240" w:lineRule="auto"/>
        <w:ind w:firstLine="720"/>
        <w:jc w:val="both"/>
        <w:rPr>
          <w:rFonts w:cs="Arial"/>
          <w:sz w:val="24"/>
          <w:szCs w:val="24"/>
        </w:rPr>
      </w:pPr>
    </w:p>
    <w:p w:rsidR="002C17B2" w:rsidRPr="00DF3598" w:rsidRDefault="002C17B2" w:rsidP="004834E6">
      <w:pPr>
        <w:spacing w:after="0" w:line="240" w:lineRule="auto"/>
        <w:jc w:val="both"/>
        <w:rPr>
          <w:rFonts w:cs="Arial"/>
          <w:b/>
          <w:sz w:val="24"/>
          <w:szCs w:val="24"/>
          <w:u w:val="single"/>
        </w:rPr>
      </w:pPr>
      <w:r w:rsidRPr="00DF3598">
        <w:rPr>
          <w:rFonts w:cs="Arial"/>
          <w:b/>
          <w:sz w:val="24"/>
          <w:szCs w:val="24"/>
        </w:rPr>
        <w:t xml:space="preserve"> </w:t>
      </w:r>
      <w:r w:rsidRPr="00DF3598">
        <w:rPr>
          <w:rFonts w:cs="Arial"/>
          <w:b/>
          <w:sz w:val="24"/>
          <w:szCs w:val="24"/>
          <w:u w:val="single"/>
        </w:rPr>
        <w:t xml:space="preserve">Location, Land Area and Topography </w:t>
      </w:r>
    </w:p>
    <w:p w:rsidR="002C17B2" w:rsidRPr="00DF3598" w:rsidRDefault="002C17B2" w:rsidP="004834E6">
      <w:pPr>
        <w:spacing w:after="0" w:line="240" w:lineRule="auto"/>
        <w:ind w:left="720"/>
        <w:jc w:val="both"/>
        <w:rPr>
          <w:rFonts w:cs="Arial"/>
          <w:sz w:val="24"/>
          <w:szCs w:val="24"/>
        </w:rPr>
      </w:pPr>
    </w:p>
    <w:p w:rsidR="002C17B2" w:rsidRPr="00DF3598" w:rsidRDefault="002C17B2" w:rsidP="004834E6">
      <w:pPr>
        <w:numPr>
          <w:ilvl w:val="1"/>
          <w:numId w:val="13"/>
        </w:numPr>
        <w:spacing w:after="0" w:line="240" w:lineRule="auto"/>
        <w:jc w:val="both"/>
        <w:rPr>
          <w:rFonts w:cs="Arial"/>
          <w:sz w:val="24"/>
          <w:szCs w:val="24"/>
        </w:rPr>
      </w:pPr>
      <w:r w:rsidRPr="00DF3598">
        <w:rPr>
          <w:rFonts w:cs="Arial"/>
          <w:sz w:val="24"/>
          <w:szCs w:val="24"/>
        </w:rPr>
        <w:t xml:space="preserve">Lies on the southern side of the National Capital Region </w:t>
      </w:r>
    </w:p>
    <w:p w:rsidR="002C17B2" w:rsidRPr="00DF3598" w:rsidRDefault="002C17B2" w:rsidP="004834E6">
      <w:pPr>
        <w:numPr>
          <w:ilvl w:val="1"/>
          <w:numId w:val="13"/>
        </w:numPr>
        <w:spacing w:after="0" w:line="240" w:lineRule="auto"/>
        <w:jc w:val="both"/>
        <w:rPr>
          <w:rFonts w:cs="Arial"/>
          <w:sz w:val="24"/>
          <w:szCs w:val="24"/>
        </w:rPr>
      </w:pPr>
      <w:r w:rsidRPr="00DF3598">
        <w:rPr>
          <w:rFonts w:cs="Arial"/>
          <w:sz w:val="24"/>
          <w:szCs w:val="24"/>
        </w:rPr>
        <w:t>Composed of five provinces and two urbanized cities, 71 municipalities and 1,458 barangays.</w:t>
      </w:r>
    </w:p>
    <w:p w:rsidR="002C17B2" w:rsidRPr="00DF3598" w:rsidRDefault="002C17B2" w:rsidP="004834E6">
      <w:pPr>
        <w:numPr>
          <w:ilvl w:val="1"/>
          <w:numId w:val="13"/>
        </w:numPr>
        <w:spacing w:after="0" w:line="240" w:lineRule="auto"/>
        <w:jc w:val="both"/>
        <w:rPr>
          <w:rFonts w:cs="Arial"/>
          <w:sz w:val="24"/>
          <w:szCs w:val="24"/>
        </w:rPr>
      </w:pPr>
      <w:r w:rsidRPr="00DF3598">
        <w:rPr>
          <w:rFonts w:cs="Arial"/>
          <w:sz w:val="24"/>
          <w:szCs w:val="24"/>
        </w:rPr>
        <w:t>Land area covers 2,745,601 hectares of island provinces.</w:t>
      </w:r>
    </w:p>
    <w:p w:rsidR="002C17B2" w:rsidRPr="00DF3598" w:rsidRDefault="002C17B2" w:rsidP="004834E6">
      <w:pPr>
        <w:spacing w:after="0" w:line="240" w:lineRule="auto"/>
        <w:ind w:left="1440"/>
        <w:jc w:val="both"/>
        <w:rPr>
          <w:rFonts w:cs="Arial"/>
          <w:b/>
          <w:bCs/>
          <w:color w:val="FF0000"/>
          <w:sz w:val="24"/>
          <w:szCs w:val="24"/>
        </w:rPr>
      </w:pPr>
    </w:p>
    <w:p w:rsidR="00174E3E" w:rsidRPr="00DF3598" w:rsidRDefault="00174E3E" w:rsidP="004834E6">
      <w:pPr>
        <w:spacing w:after="0" w:line="240" w:lineRule="auto"/>
        <w:ind w:left="1440"/>
        <w:jc w:val="both"/>
        <w:rPr>
          <w:rFonts w:cs="Arial"/>
          <w:b/>
          <w:bCs/>
          <w:color w:val="FF0000"/>
          <w:sz w:val="24"/>
          <w:szCs w:val="24"/>
        </w:rPr>
      </w:pPr>
    </w:p>
    <w:p w:rsidR="002C17B2" w:rsidRPr="00DF3598" w:rsidRDefault="00584020" w:rsidP="004834E6">
      <w:pPr>
        <w:spacing w:after="0" w:line="240" w:lineRule="auto"/>
        <w:jc w:val="both"/>
        <w:rPr>
          <w:rFonts w:cs="Arial"/>
          <w:b/>
          <w:sz w:val="24"/>
          <w:szCs w:val="24"/>
        </w:rPr>
      </w:pPr>
      <w:r w:rsidRPr="00DF3598">
        <w:rPr>
          <w:rFonts w:cs="Arial"/>
          <w:b/>
          <w:bCs/>
          <w:sz w:val="24"/>
          <w:szCs w:val="24"/>
        </w:rPr>
        <w:t xml:space="preserve">                     </w:t>
      </w:r>
      <w:r w:rsidR="002C17B2" w:rsidRPr="00DF3598">
        <w:rPr>
          <w:rFonts w:cs="Arial"/>
          <w:b/>
          <w:bCs/>
          <w:sz w:val="24"/>
          <w:szCs w:val="24"/>
        </w:rPr>
        <w:t xml:space="preserve">Table </w:t>
      </w:r>
      <w:r w:rsidR="00A759C6">
        <w:rPr>
          <w:rFonts w:cs="Arial"/>
          <w:b/>
          <w:bCs/>
          <w:sz w:val="24"/>
          <w:szCs w:val="24"/>
        </w:rPr>
        <w:t>2</w:t>
      </w:r>
      <w:r w:rsidR="00086A13" w:rsidRPr="00DF3598">
        <w:rPr>
          <w:rFonts w:cs="Arial"/>
          <w:b/>
          <w:bCs/>
          <w:sz w:val="24"/>
          <w:szCs w:val="24"/>
        </w:rPr>
        <w:t>.</w:t>
      </w:r>
      <w:r w:rsidR="002C17B2" w:rsidRPr="00DF3598">
        <w:rPr>
          <w:rFonts w:cs="Arial"/>
          <w:b/>
          <w:bCs/>
          <w:sz w:val="24"/>
          <w:szCs w:val="24"/>
        </w:rPr>
        <w:t xml:space="preserve"> Land Area, Provinces, Cities, Municipalities and Barangays            </w:t>
      </w:r>
    </w:p>
    <w:tbl>
      <w:tblPr>
        <w:tblpPr w:leftFromText="180" w:rightFromText="180" w:vertAnchor="text" w:horzAnchor="margin" w:tblpXSpec="center" w:tblpY="2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494"/>
        <w:gridCol w:w="1440"/>
        <w:gridCol w:w="1260"/>
        <w:gridCol w:w="1080"/>
        <w:gridCol w:w="1710"/>
        <w:gridCol w:w="1440"/>
      </w:tblGrid>
      <w:tr w:rsidR="00086A13" w:rsidRPr="00DF3598" w:rsidTr="00B73EA3">
        <w:trPr>
          <w:trHeight w:val="538"/>
        </w:trPr>
        <w:tc>
          <w:tcPr>
            <w:tcW w:w="1494" w:type="dxa"/>
            <w:shd w:val="clear" w:color="auto" w:fill="auto"/>
            <w:tcMar>
              <w:top w:w="72" w:type="dxa"/>
              <w:left w:w="144" w:type="dxa"/>
              <w:bottom w:w="72" w:type="dxa"/>
              <w:right w:w="144" w:type="dxa"/>
            </w:tcMar>
            <w:hideMark/>
          </w:tcPr>
          <w:p w:rsidR="002C17B2" w:rsidRPr="00174E3E" w:rsidRDefault="002C17B2" w:rsidP="004834E6">
            <w:pPr>
              <w:spacing w:after="0" w:line="240" w:lineRule="auto"/>
              <w:jc w:val="both"/>
              <w:rPr>
                <w:rFonts w:eastAsia="Times New Roman" w:cstheme="minorHAnsi"/>
                <w:sz w:val="24"/>
                <w:szCs w:val="24"/>
              </w:rPr>
            </w:pPr>
          </w:p>
        </w:tc>
        <w:tc>
          <w:tcPr>
            <w:tcW w:w="1440" w:type="dxa"/>
            <w:shd w:val="clear" w:color="auto" w:fill="auto"/>
            <w:tcMar>
              <w:top w:w="72" w:type="dxa"/>
              <w:left w:w="144" w:type="dxa"/>
              <w:bottom w:w="72" w:type="dxa"/>
              <w:right w:w="144" w:type="dxa"/>
            </w:tcMar>
            <w:hideMark/>
          </w:tcPr>
          <w:p w:rsidR="002C17B2" w:rsidRPr="00174E3E" w:rsidRDefault="002C17B2" w:rsidP="004834E6">
            <w:pPr>
              <w:spacing w:after="0" w:line="240" w:lineRule="auto"/>
              <w:jc w:val="both"/>
              <w:rPr>
                <w:rFonts w:eastAsia="Times New Roman" w:cstheme="minorHAnsi"/>
                <w:sz w:val="24"/>
                <w:szCs w:val="24"/>
              </w:rPr>
            </w:pPr>
            <w:r w:rsidRPr="00174E3E">
              <w:rPr>
                <w:rFonts w:eastAsia="Times New Roman" w:cstheme="minorHAnsi"/>
                <w:bCs/>
                <w:kern w:val="24"/>
                <w:sz w:val="24"/>
                <w:szCs w:val="24"/>
              </w:rPr>
              <w:t>Land Area</w:t>
            </w:r>
          </w:p>
        </w:tc>
        <w:tc>
          <w:tcPr>
            <w:tcW w:w="1260" w:type="dxa"/>
            <w:shd w:val="clear" w:color="auto" w:fill="auto"/>
            <w:tcMar>
              <w:top w:w="72" w:type="dxa"/>
              <w:left w:w="144" w:type="dxa"/>
              <w:bottom w:w="72" w:type="dxa"/>
              <w:right w:w="144" w:type="dxa"/>
            </w:tcMar>
            <w:hideMark/>
          </w:tcPr>
          <w:p w:rsidR="002C17B2" w:rsidRPr="00174E3E" w:rsidRDefault="002C17B2" w:rsidP="004834E6">
            <w:pPr>
              <w:spacing w:after="0" w:line="240" w:lineRule="auto"/>
              <w:jc w:val="both"/>
              <w:rPr>
                <w:rFonts w:eastAsia="Times New Roman" w:cstheme="minorHAnsi"/>
                <w:sz w:val="24"/>
                <w:szCs w:val="24"/>
              </w:rPr>
            </w:pPr>
            <w:r w:rsidRPr="00174E3E">
              <w:rPr>
                <w:rFonts w:eastAsia="Times New Roman" w:cstheme="minorHAnsi"/>
                <w:bCs/>
                <w:kern w:val="24"/>
                <w:sz w:val="24"/>
                <w:szCs w:val="24"/>
              </w:rPr>
              <w:t xml:space="preserve">No. of </w:t>
            </w:r>
          </w:p>
          <w:p w:rsidR="002C17B2" w:rsidRPr="00174E3E" w:rsidRDefault="002C17B2" w:rsidP="004834E6">
            <w:pPr>
              <w:spacing w:after="0" w:line="240" w:lineRule="auto"/>
              <w:jc w:val="both"/>
              <w:rPr>
                <w:rFonts w:eastAsia="Times New Roman" w:cstheme="minorHAnsi"/>
                <w:sz w:val="24"/>
                <w:szCs w:val="24"/>
              </w:rPr>
            </w:pPr>
            <w:r w:rsidRPr="00174E3E">
              <w:rPr>
                <w:rFonts w:eastAsia="Times New Roman" w:cstheme="minorHAnsi"/>
                <w:bCs/>
                <w:kern w:val="24"/>
                <w:sz w:val="24"/>
                <w:szCs w:val="24"/>
              </w:rPr>
              <w:t>Provinces</w:t>
            </w:r>
          </w:p>
        </w:tc>
        <w:tc>
          <w:tcPr>
            <w:tcW w:w="1080" w:type="dxa"/>
            <w:shd w:val="clear" w:color="auto" w:fill="auto"/>
            <w:tcMar>
              <w:top w:w="72" w:type="dxa"/>
              <w:left w:w="144" w:type="dxa"/>
              <w:bottom w:w="72" w:type="dxa"/>
              <w:right w:w="144" w:type="dxa"/>
            </w:tcMar>
            <w:hideMark/>
          </w:tcPr>
          <w:p w:rsidR="002C17B2" w:rsidRPr="00174E3E" w:rsidRDefault="002C17B2" w:rsidP="004834E6">
            <w:pPr>
              <w:spacing w:after="0" w:line="240" w:lineRule="auto"/>
              <w:jc w:val="both"/>
              <w:rPr>
                <w:rFonts w:eastAsia="Times New Roman" w:cstheme="minorHAnsi"/>
                <w:sz w:val="24"/>
                <w:szCs w:val="24"/>
              </w:rPr>
            </w:pPr>
            <w:r w:rsidRPr="00174E3E">
              <w:rPr>
                <w:rFonts w:eastAsia="Times New Roman" w:cstheme="minorHAnsi"/>
                <w:bCs/>
                <w:kern w:val="24"/>
                <w:sz w:val="24"/>
                <w:szCs w:val="24"/>
              </w:rPr>
              <w:t xml:space="preserve">No. of </w:t>
            </w:r>
          </w:p>
          <w:p w:rsidR="002C17B2" w:rsidRPr="00174E3E" w:rsidRDefault="002C17B2" w:rsidP="004834E6">
            <w:pPr>
              <w:spacing w:after="0" w:line="240" w:lineRule="auto"/>
              <w:jc w:val="both"/>
              <w:rPr>
                <w:rFonts w:eastAsia="Times New Roman" w:cstheme="minorHAnsi"/>
                <w:sz w:val="24"/>
                <w:szCs w:val="24"/>
              </w:rPr>
            </w:pPr>
            <w:r w:rsidRPr="00174E3E">
              <w:rPr>
                <w:rFonts w:eastAsia="Times New Roman" w:cstheme="minorHAnsi"/>
                <w:bCs/>
                <w:kern w:val="24"/>
                <w:sz w:val="24"/>
                <w:szCs w:val="24"/>
              </w:rPr>
              <w:t>Cities</w:t>
            </w:r>
          </w:p>
        </w:tc>
        <w:tc>
          <w:tcPr>
            <w:tcW w:w="1710" w:type="dxa"/>
            <w:shd w:val="clear" w:color="auto" w:fill="auto"/>
            <w:tcMar>
              <w:top w:w="72" w:type="dxa"/>
              <w:left w:w="144" w:type="dxa"/>
              <w:bottom w:w="72" w:type="dxa"/>
              <w:right w:w="144" w:type="dxa"/>
            </w:tcMar>
            <w:hideMark/>
          </w:tcPr>
          <w:p w:rsidR="002C17B2" w:rsidRPr="00174E3E" w:rsidRDefault="002C17B2" w:rsidP="004834E6">
            <w:pPr>
              <w:spacing w:after="0" w:line="240" w:lineRule="auto"/>
              <w:jc w:val="both"/>
              <w:rPr>
                <w:rFonts w:eastAsia="Times New Roman" w:cstheme="minorHAnsi"/>
                <w:sz w:val="24"/>
                <w:szCs w:val="24"/>
              </w:rPr>
            </w:pPr>
            <w:r w:rsidRPr="00174E3E">
              <w:rPr>
                <w:rFonts w:eastAsia="Times New Roman" w:cstheme="minorHAnsi"/>
                <w:bCs/>
                <w:kern w:val="24"/>
                <w:sz w:val="24"/>
                <w:szCs w:val="24"/>
              </w:rPr>
              <w:t xml:space="preserve">No. of </w:t>
            </w:r>
          </w:p>
          <w:p w:rsidR="002C17B2" w:rsidRPr="00174E3E" w:rsidRDefault="002C17B2" w:rsidP="004834E6">
            <w:pPr>
              <w:spacing w:after="0" w:line="240" w:lineRule="auto"/>
              <w:jc w:val="both"/>
              <w:rPr>
                <w:rFonts w:eastAsia="Times New Roman" w:cstheme="minorHAnsi"/>
                <w:sz w:val="24"/>
                <w:szCs w:val="24"/>
              </w:rPr>
            </w:pPr>
            <w:r w:rsidRPr="00174E3E">
              <w:rPr>
                <w:rFonts w:eastAsia="Times New Roman" w:cstheme="minorHAnsi"/>
                <w:bCs/>
                <w:kern w:val="24"/>
                <w:sz w:val="24"/>
                <w:szCs w:val="24"/>
              </w:rPr>
              <w:t>Municipalities</w:t>
            </w:r>
          </w:p>
        </w:tc>
        <w:tc>
          <w:tcPr>
            <w:tcW w:w="1440" w:type="dxa"/>
            <w:shd w:val="clear" w:color="auto" w:fill="auto"/>
            <w:tcMar>
              <w:top w:w="72" w:type="dxa"/>
              <w:left w:w="144" w:type="dxa"/>
              <w:bottom w:w="72" w:type="dxa"/>
              <w:right w:w="144" w:type="dxa"/>
            </w:tcMar>
            <w:hideMark/>
          </w:tcPr>
          <w:p w:rsidR="002C17B2" w:rsidRPr="00174E3E" w:rsidRDefault="002C17B2" w:rsidP="004834E6">
            <w:pPr>
              <w:spacing w:after="0" w:line="240" w:lineRule="auto"/>
              <w:jc w:val="both"/>
              <w:rPr>
                <w:rFonts w:eastAsia="Times New Roman" w:cstheme="minorHAnsi"/>
                <w:sz w:val="24"/>
                <w:szCs w:val="24"/>
              </w:rPr>
            </w:pPr>
            <w:r w:rsidRPr="00174E3E">
              <w:rPr>
                <w:rFonts w:eastAsia="Times New Roman" w:cstheme="minorHAnsi"/>
                <w:bCs/>
                <w:kern w:val="24"/>
                <w:sz w:val="24"/>
                <w:szCs w:val="24"/>
              </w:rPr>
              <w:t xml:space="preserve">No. of </w:t>
            </w:r>
          </w:p>
          <w:p w:rsidR="002C17B2" w:rsidRPr="00174E3E" w:rsidRDefault="002C17B2" w:rsidP="004834E6">
            <w:pPr>
              <w:spacing w:after="0" w:line="240" w:lineRule="auto"/>
              <w:jc w:val="both"/>
              <w:rPr>
                <w:rFonts w:eastAsia="Times New Roman" w:cstheme="minorHAnsi"/>
                <w:sz w:val="24"/>
                <w:szCs w:val="24"/>
              </w:rPr>
            </w:pPr>
            <w:r w:rsidRPr="00174E3E">
              <w:rPr>
                <w:rFonts w:eastAsia="Times New Roman" w:cstheme="minorHAnsi"/>
                <w:bCs/>
                <w:kern w:val="24"/>
                <w:sz w:val="24"/>
                <w:szCs w:val="24"/>
              </w:rPr>
              <w:t>Barangays</w:t>
            </w:r>
          </w:p>
        </w:tc>
      </w:tr>
      <w:tr w:rsidR="00086A13" w:rsidRPr="00DF3598" w:rsidTr="00B73EA3">
        <w:trPr>
          <w:trHeight w:val="300"/>
        </w:trPr>
        <w:tc>
          <w:tcPr>
            <w:tcW w:w="1494" w:type="dxa"/>
            <w:shd w:val="clear" w:color="auto" w:fill="auto"/>
            <w:tcMar>
              <w:top w:w="72" w:type="dxa"/>
              <w:left w:w="144" w:type="dxa"/>
              <w:bottom w:w="72" w:type="dxa"/>
              <w:right w:w="144" w:type="dxa"/>
            </w:tcMar>
            <w:hideMark/>
          </w:tcPr>
          <w:p w:rsidR="002C17B2" w:rsidRPr="00174E3E" w:rsidRDefault="002C17B2" w:rsidP="004834E6">
            <w:pPr>
              <w:spacing w:after="0" w:line="240" w:lineRule="auto"/>
              <w:jc w:val="both"/>
              <w:rPr>
                <w:rFonts w:eastAsia="Times New Roman" w:cstheme="minorHAnsi"/>
                <w:sz w:val="24"/>
                <w:szCs w:val="24"/>
              </w:rPr>
            </w:pPr>
            <w:r w:rsidRPr="00174E3E">
              <w:rPr>
                <w:rFonts w:eastAsia="Times New Roman" w:cstheme="minorHAnsi"/>
                <w:kern w:val="24"/>
                <w:sz w:val="24"/>
                <w:szCs w:val="24"/>
              </w:rPr>
              <w:t>MIMAROPA</w:t>
            </w:r>
          </w:p>
        </w:tc>
        <w:tc>
          <w:tcPr>
            <w:tcW w:w="1440" w:type="dxa"/>
            <w:shd w:val="clear" w:color="auto" w:fill="auto"/>
            <w:tcMar>
              <w:top w:w="72" w:type="dxa"/>
              <w:left w:w="144" w:type="dxa"/>
              <w:bottom w:w="72" w:type="dxa"/>
              <w:right w:w="144" w:type="dxa"/>
            </w:tcMar>
            <w:vAlign w:val="center"/>
            <w:hideMark/>
          </w:tcPr>
          <w:p w:rsidR="002C17B2" w:rsidRPr="00174E3E" w:rsidRDefault="002C17B2" w:rsidP="004834E6">
            <w:pPr>
              <w:spacing w:after="0" w:line="240" w:lineRule="auto"/>
              <w:jc w:val="both"/>
              <w:rPr>
                <w:rFonts w:eastAsia="Times New Roman" w:cstheme="minorHAnsi"/>
                <w:sz w:val="24"/>
                <w:szCs w:val="24"/>
              </w:rPr>
            </w:pPr>
            <w:r w:rsidRPr="00174E3E">
              <w:rPr>
                <w:rFonts w:eastAsia="Times New Roman" w:cstheme="minorHAnsi"/>
                <w:kern w:val="24"/>
                <w:sz w:val="24"/>
                <w:szCs w:val="24"/>
              </w:rPr>
              <w:t>2,745,601 hectares</w:t>
            </w:r>
          </w:p>
        </w:tc>
        <w:tc>
          <w:tcPr>
            <w:tcW w:w="1260" w:type="dxa"/>
            <w:shd w:val="clear" w:color="auto" w:fill="auto"/>
            <w:tcMar>
              <w:top w:w="72" w:type="dxa"/>
              <w:left w:w="144" w:type="dxa"/>
              <w:bottom w:w="72" w:type="dxa"/>
              <w:right w:w="144" w:type="dxa"/>
            </w:tcMar>
            <w:vAlign w:val="center"/>
            <w:hideMark/>
          </w:tcPr>
          <w:p w:rsidR="002C17B2" w:rsidRPr="00174E3E" w:rsidRDefault="002C17B2" w:rsidP="004834E6">
            <w:pPr>
              <w:spacing w:after="0" w:line="240" w:lineRule="auto"/>
              <w:jc w:val="both"/>
              <w:rPr>
                <w:rFonts w:eastAsia="Times New Roman" w:cstheme="minorHAnsi"/>
                <w:sz w:val="24"/>
                <w:szCs w:val="24"/>
              </w:rPr>
            </w:pPr>
            <w:r w:rsidRPr="00174E3E">
              <w:rPr>
                <w:rFonts w:eastAsia="Times New Roman" w:cstheme="minorHAnsi"/>
                <w:kern w:val="24"/>
                <w:sz w:val="24"/>
                <w:szCs w:val="24"/>
              </w:rPr>
              <w:t>5</w:t>
            </w:r>
          </w:p>
        </w:tc>
        <w:tc>
          <w:tcPr>
            <w:tcW w:w="1080" w:type="dxa"/>
            <w:shd w:val="clear" w:color="auto" w:fill="auto"/>
            <w:tcMar>
              <w:top w:w="72" w:type="dxa"/>
              <w:left w:w="144" w:type="dxa"/>
              <w:bottom w:w="72" w:type="dxa"/>
              <w:right w:w="144" w:type="dxa"/>
            </w:tcMar>
            <w:vAlign w:val="center"/>
            <w:hideMark/>
          </w:tcPr>
          <w:p w:rsidR="002C17B2" w:rsidRPr="00174E3E" w:rsidRDefault="002C17B2" w:rsidP="004834E6">
            <w:pPr>
              <w:spacing w:after="0" w:line="240" w:lineRule="auto"/>
              <w:jc w:val="both"/>
              <w:rPr>
                <w:rFonts w:eastAsia="Times New Roman" w:cstheme="minorHAnsi"/>
                <w:sz w:val="24"/>
                <w:szCs w:val="24"/>
              </w:rPr>
            </w:pPr>
            <w:r w:rsidRPr="00174E3E">
              <w:rPr>
                <w:rFonts w:eastAsia="Times New Roman" w:cstheme="minorHAnsi"/>
                <w:kern w:val="24"/>
                <w:sz w:val="24"/>
                <w:szCs w:val="24"/>
              </w:rPr>
              <w:t>2</w:t>
            </w:r>
          </w:p>
        </w:tc>
        <w:tc>
          <w:tcPr>
            <w:tcW w:w="1710" w:type="dxa"/>
            <w:shd w:val="clear" w:color="auto" w:fill="auto"/>
            <w:tcMar>
              <w:top w:w="72" w:type="dxa"/>
              <w:left w:w="144" w:type="dxa"/>
              <w:bottom w:w="72" w:type="dxa"/>
              <w:right w:w="144" w:type="dxa"/>
            </w:tcMar>
            <w:vAlign w:val="center"/>
            <w:hideMark/>
          </w:tcPr>
          <w:p w:rsidR="002C17B2" w:rsidRPr="00174E3E" w:rsidRDefault="002C17B2" w:rsidP="004834E6">
            <w:pPr>
              <w:spacing w:after="0" w:line="240" w:lineRule="auto"/>
              <w:jc w:val="both"/>
              <w:rPr>
                <w:rFonts w:eastAsia="Times New Roman" w:cstheme="minorHAnsi"/>
                <w:sz w:val="24"/>
                <w:szCs w:val="24"/>
              </w:rPr>
            </w:pPr>
            <w:r w:rsidRPr="00174E3E">
              <w:rPr>
                <w:rFonts w:eastAsia="Times New Roman" w:cstheme="minorHAnsi"/>
                <w:kern w:val="24"/>
                <w:sz w:val="24"/>
                <w:szCs w:val="24"/>
              </w:rPr>
              <w:t>71</w:t>
            </w:r>
          </w:p>
        </w:tc>
        <w:tc>
          <w:tcPr>
            <w:tcW w:w="1440" w:type="dxa"/>
            <w:shd w:val="clear" w:color="auto" w:fill="auto"/>
            <w:tcMar>
              <w:top w:w="72" w:type="dxa"/>
              <w:left w:w="144" w:type="dxa"/>
              <w:bottom w:w="72" w:type="dxa"/>
              <w:right w:w="144" w:type="dxa"/>
            </w:tcMar>
            <w:vAlign w:val="center"/>
            <w:hideMark/>
          </w:tcPr>
          <w:p w:rsidR="002C17B2" w:rsidRPr="00174E3E" w:rsidRDefault="002C17B2" w:rsidP="004834E6">
            <w:pPr>
              <w:spacing w:after="0" w:line="240" w:lineRule="auto"/>
              <w:jc w:val="both"/>
              <w:rPr>
                <w:rFonts w:eastAsia="Times New Roman" w:cstheme="minorHAnsi"/>
                <w:sz w:val="24"/>
                <w:szCs w:val="24"/>
              </w:rPr>
            </w:pPr>
            <w:r w:rsidRPr="00174E3E">
              <w:rPr>
                <w:rFonts w:eastAsia="Times New Roman" w:cstheme="minorHAnsi"/>
                <w:kern w:val="24"/>
                <w:sz w:val="24"/>
                <w:szCs w:val="24"/>
              </w:rPr>
              <w:t>1,458</w:t>
            </w:r>
          </w:p>
        </w:tc>
      </w:tr>
    </w:tbl>
    <w:p w:rsidR="002C17B2" w:rsidRPr="00DF3598" w:rsidRDefault="002C17B2" w:rsidP="004834E6">
      <w:pPr>
        <w:spacing w:after="0" w:line="240" w:lineRule="auto"/>
        <w:ind w:left="1440"/>
        <w:jc w:val="both"/>
        <w:rPr>
          <w:rFonts w:cs="Arial"/>
          <w:sz w:val="24"/>
          <w:szCs w:val="24"/>
        </w:rPr>
      </w:pPr>
    </w:p>
    <w:p w:rsidR="002C17B2" w:rsidRPr="00DF3598" w:rsidRDefault="002C17B2" w:rsidP="004834E6">
      <w:pPr>
        <w:spacing w:after="0" w:line="240" w:lineRule="auto"/>
        <w:jc w:val="both"/>
        <w:rPr>
          <w:rFonts w:cs="Arial"/>
          <w:b/>
          <w:sz w:val="24"/>
          <w:szCs w:val="24"/>
          <w:u w:val="single"/>
        </w:rPr>
      </w:pPr>
    </w:p>
    <w:p w:rsidR="002C17B2" w:rsidRPr="00DF3598" w:rsidRDefault="002C17B2" w:rsidP="004834E6">
      <w:pPr>
        <w:spacing w:after="0" w:line="240" w:lineRule="auto"/>
        <w:jc w:val="both"/>
        <w:rPr>
          <w:rFonts w:cs="Arial"/>
          <w:b/>
          <w:sz w:val="24"/>
          <w:szCs w:val="24"/>
          <w:u w:val="single"/>
        </w:rPr>
      </w:pPr>
      <w:r w:rsidRPr="00DF3598">
        <w:rPr>
          <w:rFonts w:cs="Arial"/>
          <w:b/>
          <w:sz w:val="24"/>
          <w:szCs w:val="24"/>
          <w:u w:val="single"/>
        </w:rPr>
        <w:t>Population</w:t>
      </w:r>
    </w:p>
    <w:p w:rsidR="002C17B2" w:rsidRPr="00DF3598" w:rsidRDefault="002C17B2" w:rsidP="004834E6">
      <w:pPr>
        <w:spacing w:after="0" w:line="240" w:lineRule="auto"/>
        <w:ind w:left="720"/>
        <w:jc w:val="both"/>
        <w:rPr>
          <w:rFonts w:cs="Arial"/>
          <w:b/>
          <w:sz w:val="24"/>
          <w:szCs w:val="24"/>
        </w:rPr>
      </w:pPr>
    </w:p>
    <w:p w:rsidR="002C17B2" w:rsidRPr="00DF3598" w:rsidRDefault="002C17B2" w:rsidP="004834E6">
      <w:pPr>
        <w:spacing w:line="240" w:lineRule="auto"/>
        <w:ind w:firstLine="720"/>
        <w:jc w:val="both"/>
        <w:rPr>
          <w:rFonts w:cs="Arial"/>
          <w:sz w:val="24"/>
          <w:szCs w:val="24"/>
        </w:rPr>
      </w:pPr>
      <w:r w:rsidRPr="00DF3598">
        <w:rPr>
          <w:rFonts w:cs="Arial"/>
          <w:sz w:val="24"/>
          <w:szCs w:val="24"/>
        </w:rPr>
        <w:t xml:space="preserve">As of December 2016, the Region’s population is estimated at 2,963,000. By 2022, it is projected to increase </w:t>
      </w:r>
      <w:r w:rsidR="006440DD" w:rsidRPr="00DF3598">
        <w:rPr>
          <w:rFonts w:cs="Arial"/>
          <w:sz w:val="24"/>
          <w:szCs w:val="24"/>
        </w:rPr>
        <w:t>to</w:t>
      </w:r>
      <w:r w:rsidRPr="00DF3598">
        <w:rPr>
          <w:rFonts w:cs="Arial"/>
          <w:sz w:val="24"/>
          <w:szCs w:val="24"/>
        </w:rPr>
        <w:t xml:space="preserve"> 3,191,991 that will account for 2.9 percent (%) of the total population of the Philippines. </w:t>
      </w:r>
    </w:p>
    <w:p w:rsidR="002C17B2" w:rsidRPr="00DF3598" w:rsidRDefault="002C17B2" w:rsidP="004834E6">
      <w:pPr>
        <w:spacing w:line="240" w:lineRule="auto"/>
        <w:ind w:firstLine="720"/>
        <w:jc w:val="both"/>
        <w:rPr>
          <w:rFonts w:cs="Arial"/>
          <w:sz w:val="24"/>
          <w:szCs w:val="24"/>
        </w:rPr>
      </w:pPr>
      <w:r w:rsidRPr="00DF3598">
        <w:rPr>
          <w:rFonts w:cs="Arial"/>
          <w:sz w:val="24"/>
          <w:szCs w:val="24"/>
        </w:rPr>
        <w:t xml:space="preserve">The Region’s annual population growth rate between the year 2011 and 2016 was 2.8 percent (%), a bit slower than the 3.2 percent (%) national growth rate registered between 2011 and 2016.   </w:t>
      </w:r>
    </w:p>
    <w:p w:rsidR="002C17B2" w:rsidRPr="00DF3598" w:rsidRDefault="002C17B2" w:rsidP="004834E6">
      <w:pPr>
        <w:spacing w:line="240" w:lineRule="auto"/>
        <w:ind w:firstLine="720"/>
        <w:jc w:val="both"/>
        <w:rPr>
          <w:rFonts w:cs="Arial"/>
          <w:sz w:val="24"/>
          <w:szCs w:val="24"/>
        </w:rPr>
      </w:pPr>
      <w:r w:rsidRPr="00DF3598">
        <w:rPr>
          <w:rFonts w:cs="Arial"/>
          <w:sz w:val="24"/>
          <w:szCs w:val="24"/>
        </w:rPr>
        <w:t>Based on the 2015 PSA data, the region has a relatively young population with the age 15 years and below bracket accounting for 37 percent (%) of the total.</w:t>
      </w:r>
    </w:p>
    <w:p w:rsidR="00A759C6" w:rsidRDefault="00584020" w:rsidP="004834E6">
      <w:pPr>
        <w:spacing w:line="240" w:lineRule="auto"/>
        <w:jc w:val="both"/>
        <w:rPr>
          <w:rFonts w:cs="Calibri"/>
          <w:b/>
          <w:bCs/>
          <w:sz w:val="24"/>
          <w:szCs w:val="24"/>
        </w:rPr>
      </w:pPr>
      <w:r w:rsidRPr="00DF3598">
        <w:rPr>
          <w:rFonts w:cs="Calibri"/>
          <w:b/>
          <w:bCs/>
          <w:sz w:val="24"/>
          <w:szCs w:val="24"/>
        </w:rPr>
        <w:t xml:space="preserve">                             </w:t>
      </w:r>
    </w:p>
    <w:p w:rsidR="002C17B2" w:rsidRPr="00DF3598" w:rsidRDefault="00A759C6" w:rsidP="00A759C6">
      <w:pPr>
        <w:spacing w:line="240" w:lineRule="auto"/>
        <w:ind w:left="720" w:firstLine="720"/>
        <w:jc w:val="both"/>
        <w:rPr>
          <w:rFonts w:cs="Calibri"/>
          <w:b/>
          <w:bCs/>
          <w:sz w:val="24"/>
          <w:szCs w:val="24"/>
        </w:rPr>
      </w:pPr>
      <w:r>
        <w:rPr>
          <w:rFonts w:cs="Calibri"/>
          <w:b/>
          <w:bCs/>
          <w:sz w:val="24"/>
          <w:szCs w:val="24"/>
        </w:rPr>
        <w:t xml:space="preserve">    </w:t>
      </w:r>
      <w:r w:rsidR="002C17B2" w:rsidRPr="00DF3598">
        <w:rPr>
          <w:rFonts w:cs="Calibri"/>
          <w:b/>
          <w:bCs/>
          <w:sz w:val="24"/>
          <w:szCs w:val="24"/>
        </w:rPr>
        <w:t xml:space="preserve">Table </w:t>
      </w:r>
      <w:r>
        <w:rPr>
          <w:rFonts w:cs="Calibri"/>
          <w:b/>
          <w:bCs/>
          <w:sz w:val="24"/>
          <w:szCs w:val="24"/>
        </w:rPr>
        <w:t>3</w:t>
      </w:r>
      <w:r w:rsidR="002C17B2" w:rsidRPr="00DF3598">
        <w:rPr>
          <w:rFonts w:cs="Calibri"/>
          <w:b/>
          <w:bCs/>
          <w:sz w:val="24"/>
          <w:szCs w:val="24"/>
        </w:rPr>
        <w:t xml:space="preserve">. </w:t>
      </w:r>
      <w:r w:rsidR="00584020" w:rsidRPr="00DF3598">
        <w:rPr>
          <w:rFonts w:cs="Calibri"/>
          <w:b/>
          <w:bCs/>
          <w:sz w:val="24"/>
          <w:szCs w:val="24"/>
        </w:rPr>
        <w:t>MIMAROPA</w:t>
      </w:r>
      <w:r w:rsidR="002C17B2" w:rsidRPr="00DF3598">
        <w:rPr>
          <w:rFonts w:cs="Calibri"/>
          <w:b/>
          <w:bCs/>
          <w:sz w:val="24"/>
          <w:szCs w:val="24"/>
        </w:rPr>
        <w:t xml:space="preserve"> Population by Province 2016</w:t>
      </w:r>
    </w:p>
    <w:tbl>
      <w:tblPr>
        <w:tblW w:w="5454" w:type="dxa"/>
        <w:tblInd w:w="1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304"/>
        <w:gridCol w:w="3150"/>
      </w:tblGrid>
      <w:tr w:rsidR="002C17B2" w:rsidRPr="00DF3598" w:rsidTr="00B73EA3">
        <w:trPr>
          <w:trHeight w:val="425"/>
        </w:trPr>
        <w:tc>
          <w:tcPr>
            <w:tcW w:w="2304" w:type="dxa"/>
            <w:shd w:val="clear" w:color="auto" w:fill="auto"/>
            <w:tcMar>
              <w:top w:w="72" w:type="dxa"/>
              <w:left w:w="144" w:type="dxa"/>
              <w:bottom w:w="72" w:type="dxa"/>
              <w:right w:w="144" w:type="dxa"/>
            </w:tcMar>
            <w:hideMark/>
          </w:tcPr>
          <w:p w:rsidR="002C17B2" w:rsidRPr="00B73EA3" w:rsidRDefault="002C17B2" w:rsidP="00B73EA3">
            <w:pPr>
              <w:spacing w:after="0" w:line="240" w:lineRule="auto"/>
              <w:jc w:val="center"/>
              <w:rPr>
                <w:rFonts w:eastAsia="Times New Roman" w:cstheme="minorHAnsi"/>
              </w:rPr>
            </w:pPr>
            <w:r w:rsidRPr="00B73EA3">
              <w:rPr>
                <w:rFonts w:eastAsia="Times New Roman" w:cstheme="minorHAnsi"/>
                <w:b/>
                <w:bCs/>
                <w:kern w:val="24"/>
              </w:rPr>
              <w:t>Province</w:t>
            </w:r>
          </w:p>
        </w:tc>
        <w:tc>
          <w:tcPr>
            <w:tcW w:w="3150" w:type="dxa"/>
            <w:shd w:val="clear" w:color="auto" w:fill="auto"/>
            <w:tcMar>
              <w:top w:w="72" w:type="dxa"/>
              <w:left w:w="144" w:type="dxa"/>
              <w:bottom w:w="72" w:type="dxa"/>
              <w:right w:w="144" w:type="dxa"/>
            </w:tcMar>
            <w:hideMark/>
          </w:tcPr>
          <w:p w:rsidR="002C17B2" w:rsidRPr="00B73EA3" w:rsidRDefault="002C17B2" w:rsidP="00B73EA3">
            <w:pPr>
              <w:spacing w:after="0" w:line="240" w:lineRule="auto"/>
              <w:jc w:val="center"/>
              <w:rPr>
                <w:rFonts w:eastAsia="Times New Roman" w:cstheme="minorHAnsi"/>
              </w:rPr>
            </w:pPr>
            <w:r w:rsidRPr="00B73EA3">
              <w:rPr>
                <w:rFonts w:eastAsia="Times New Roman" w:cstheme="minorHAnsi"/>
                <w:b/>
                <w:bCs/>
                <w:kern w:val="24"/>
              </w:rPr>
              <w:t>POPULATION (CENSUS 2015)</w:t>
            </w:r>
          </w:p>
        </w:tc>
      </w:tr>
      <w:tr w:rsidR="002C17B2" w:rsidRPr="00DF3598" w:rsidTr="00B73EA3">
        <w:trPr>
          <w:trHeight w:val="201"/>
        </w:trPr>
        <w:tc>
          <w:tcPr>
            <w:tcW w:w="2304" w:type="dxa"/>
            <w:shd w:val="clear" w:color="auto" w:fill="auto"/>
            <w:tcMar>
              <w:top w:w="72" w:type="dxa"/>
              <w:left w:w="144" w:type="dxa"/>
              <w:bottom w:w="72" w:type="dxa"/>
              <w:right w:w="144" w:type="dxa"/>
            </w:tcMar>
            <w:hideMark/>
          </w:tcPr>
          <w:p w:rsidR="002C17B2" w:rsidRPr="00174E3E" w:rsidRDefault="002C17B2" w:rsidP="004834E6">
            <w:pPr>
              <w:spacing w:after="0" w:line="240" w:lineRule="auto"/>
              <w:jc w:val="both"/>
              <w:rPr>
                <w:rFonts w:eastAsia="Times New Roman" w:cstheme="minorHAnsi"/>
              </w:rPr>
            </w:pPr>
            <w:r w:rsidRPr="00174E3E">
              <w:rPr>
                <w:rFonts w:eastAsia="Times New Roman" w:cstheme="minorHAnsi"/>
                <w:color w:val="000000"/>
                <w:kern w:val="24"/>
              </w:rPr>
              <w:t>Marinduque</w:t>
            </w:r>
          </w:p>
        </w:tc>
        <w:tc>
          <w:tcPr>
            <w:tcW w:w="3150" w:type="dxa"/>
            <w:shd w:val="clear" w:color="auto" w:fill="auto"/>
            <w:tcMar>
              <w:top w:w="72" w:type="dxa"/>
              <w:left w:w="144" w:type="dxa"/>
              <w:bottom w:w="72" w:type="dxa"/>
              <w:right w:w="144" w:type="dxa"/>
            </w:tcMar>
            <w:vAlign w:val="center"/>
            <w:hideMark/>
          </w:tcPr>
          <w:p w:rsidR="002C17B2" w:rsidRPr="00174E3E" w:rsidRDefault="002C17B2" w:rsidP="004834E6">
            <w:pPr>
              <w:spacing w:after="0" w:line="240" w:lineRule="auto"/>
              <w:jc w:val="both"/>
              <w:rPr>
                <w:rFonts w:eastAsia="Times New Roman" w:cstheme="minorHAnsi"/>
              </w:rPr>
            </w:pPr>
            <w:r w:rsidRPr="00174E3E">
              <w:rPr>
                <w:rFonts w:eastAsia="Times New Roman" w:cstheme="minorHAnsi"/>
                <w:color w:val="000000"/>
                <w:kern w:val="24"/>
              </w:rPr>
              <w:t>235,521</w:t>
            </w:r>
          </w:p>
        </w:tc>
      </w:tr>
      <w:tr w:rsidR="002C17B2" w:rsidRPr="00DF3598" w:rsidTr="00B73EA3">
        <w:trPr>
          <w:trHeight w:val="286"/>
        </w:trPr>
        <w:tc>
          <w:tcPr>
            <w:tcW w:w="2304" w:type="dxa"/>
            <w:shd w:val="clear" w:color="auto" w:fill="auto"/>
            <w:tcMar>
              <w:top w:w="72" w:type="dxa"/>
              <w:left w:w="144" w:type="dxa"/>
              <w:bottom w:w="72" w:type="dxa"/>
              <w:right w:w="144" w:type="dxa"/>
            </w:tcMar>
            <w:hideMark/>
          </w:tcPr>
          <w:p w:rsidR="002C17B2" w:rsidRPr="00174E3E" w:rsidRDefault="002C17B2" w:rsidP="004834E6">
            <w:pPr>
              <w:spacing w:after="0" w:line="240" w:lineRule="auto"/>
              <w:jc w:val="both"/>
              <w:rPr>
                <w:rFonts w:eastAsia="Times New Roman" w:cstheme="minorHAnsi"/>
              </w:rPr>
            </w:pPr>
            <w:r w:rsidRPr="00174E3E">
              <w:rPr>
                <w:rFonts w:eastAsia="Times New Roman" w:cstheme="minorHAnsi"/>
                <w:color w:val="000000"/>
                <w:kern w:val="24"/>
              </w:rPr>
              <w:t>Occidental Mindoro</w:t>
            </w:r>
          </w:p>
        </w:tc>
        <w:tc>
          <w:tcPr>
            <w:tcW w:w="3150" w:type="dxa"/>
            <w:shd w:val="clear" w:color="auto" w:fill="auto"/>
            <w:tcMar>
              <w:top w:w="72" w:type="dxa"/>
              <w:left w:w="144" w:type="dxa"/>
              <w:bottom w:w="72" w:type="dxa"/>
              <w:right w:w="144" w:type="dxa"/>
            </w:tcMar>
            <w:vAlign w:val="center"/>
            <w:hideMark/>
          </w:tcPr>
          <w:p w:rsidR="002C17B2" w:rsidRPr="00174E3E" w:rsidRDefault="002C17B2" w:rsidP="004834E6">
            <w:pPr>
              <w:spacing w:after="0" w:line="240" w:lineRule="auto"/>
              <w:jc w:val="both"/>
              <w:rPr>
                <w:rFonts w:eastAsia="Times New Roman" w:cstheme="minorHAnsi"/>
              </w:rPr>
            </w:pPr>
            <w:r w:rsidRPr="00174E3E">
              <w:rPr>
                <w:rFonts w:eastAsia="Times New Roman" w:cstheme="minorHAnsi"/>
                <w:color w:val="000000"/>
                <w:kern w:val="24"/>
              </w:rPr>
              <w:t>487,414</w:t>
            </w:r>
          </w:p>
        </w:tc>
      </w:tr>
      <w:tr w:rsidR="002C17B2" w:rsidRPr="00DF3598" w:rsidTr="00B73EA3">
        <w:trPr>
          <w:trHeight w:val="196"/>
        </w:trPr>
        <w:tc>
          <w:tcPr>
            <w:tcW w:w="2304" w:type="dxa"/>
            <w:shd w:val="clear" w:color="auto" w:fill="auto"/>
            <w:tcMar>
              <w:top w:w="72" w:type="dxa"/>
              <w:left w:w="144" w:type="dxa"/>
              <w:bottom w:w="72" w:type="dxa"/>
              <w:right w:w="144" w:type="dxa"/>
            </w:tcMar>
            <w:hideMark/>
          </w:tcPr>
          <w:p w:rsidR="002C17B2" w:rsidRPr="00174E3E" w:rsidRDefault="002C17B2" w:rsidP="004834E6">
            <w:pPr>
              <w:spacing w:after="0" w:line="240" w:lineRule="auto"/>
              <w:jc w:val="both"/>
              <w:rPr>
                <w:rFonts w:eastAsia="Times New Roman" w:cstheme="minorHAnsi"/>
              </w:rPr>
            </w:pPr>
            <w:r w:rsidRPr="00174E3E">
              <w:rPr>
                <w:rFonts w:eastAsia="Times New Roman" w:cstheme="minorHAnsi"/>
                <w:color w:val="000000"/>
                <w:kern w:val="24"/>
              </w:rPr>
              <w:t>Oriental Mindoro</w:t>
            </w:r>
          </w:p>
        </w:tc>
        <w:tc>
          <w:tcPr>
            <w:tcW w:w="3150" w:type="dxa"/>
            <w:shd w:val="clear" w:color="auto" w:fill="auto"/>
            <w:tcMar>
              <w:top w:w="72" w:type="dxa"/>
              <w:left w:w="144" w:type="dxa"/>
              <w:bottom w:w="72" w:type="dxa"/>
              <w:right w:w="144" w:type="dxa"/>
            </w:tcMar>
            <w:vAlign w:val="center"/>
            <w:hideMark/>
          </w:tcPr>
          <w:p w:rsidR="002C17B2" w:rsidRPr="00174E3E" w:rsidRDefault="002C17B2" w:rsidP="004834E6">
            <w:pPr>
              <w:spacing w:after="0" w:line="240" w:lineRule="auto"/>
              <w:jc w:val="both"/>
              <w:rPr>
                <w:rFonts w:eastAsia="Times New Roman" w:cstheme="minorHAnsi"/>
              </w:rPr>
            </w:pPr>
            <w:r w:rsidRPr="00174E3E">
              <w:rPr>
                <w:rFonts w:eastAsia="Times New Roman" w:cstheme="minorHAnsi"/>
                <w:color w:val="000000"/>
                <w:kern w:val="24"/>
              </w:rPr>
              <w:t>844,059</w:t>
            </w:r>
          </w:p>
        </w:tc>
      </w:tr>
      <w:tr w:rsidR="002C17B2" w:rsidRPr="00DF3598" w:rsidTr="00B73EA3">
        <w:trPr>
          <w:trHeight w:val="115"/>
        </w:trPr>
        <w:tc>
          <w:tcPr>
            <w:tcW w:w="2304" w:type="dxa"/>
            <w:shd w:val="clear" w:color="auto" w:fill="auto"/>
            <w:tcMar>
              <w:top w:w="72" w:type="dxa"/>
              <w:left w:w="144" w:type="dxa"/>
              <w:bottom w:w="72" w:type="dxa"/>
              <w:right w:w="144" w:type="dxa"/>
            </w:tcMar>
            <w:hideMark/>
          </w:tcPr>
          <w:p w:rsidR="002C17B2" w:rsidRPr="00174E3E" w:rsidRDefault="002C17B2" w:rsidP="004834E6">
            <w:pPr>
              <w:spacing w:after="0" w:line="240" w:lineRule="auto"/>
              <w:jc w:val="both"/>
              <w:rPr>
                <w:rFonts w:eastAsia="Times New Roman" w:cstheme="minorHAnsi"/>
              </w:rPr>
            </w:pPr>
            <w:r w:rsidRPr="00174E3E">
              <w:rPr>
                <w:rFonts w:eastAsia="Times New Roman" w:cstheme="minorHAnsi"/>
                <w:color w:val="000000"/>
                <w:kern w:val="24"/>
              </w:rPr>
              <w:t>Palawan</w:t>
            </w:r>
          </w:p>
        </w:tc>
        <w:tc>
          <w:tcPr>
            <w:tcW w:w="3150" w:type="dxa"/>
            <w:shd w:val="clear" w:color="auto" w:fill="auto"/>
            <w:tcMar>
              <w:top w:w="72" w:type="dxa"/>
              <w:left w:w="144" w:type="dxa"/>
              <w:bottom w:w="72" w:type="dxa"/>
              <w:right w:w="144" w:type="dxa"/>
            </w:tcMar>
            <w:vAlign w:val="center"/>
            <w:hideMark/>
          </w:tcPr>
          <w:p w:rsidR="002C17B2" w:rsidRPr="00174E3E" w:rsidRDefault="002C17B2" w:rsidP="004834E6">
            <w:pPr>
              <w:spacing w:after="0" w:line="240" w:lineRule="auto"/>
              <w:jc w:val="both"/>
              <w:rPr>
                <w:rFonts w:eastAsia="Times New Roman" w:cstheme="minorHAnsi"/>
              </w:rPr>
            </w:pPr>
            <w:r w:rsidRPr="00174E3E">
              <w:rPr>
                <w:rFonts w:eastAsia="Times New Roman" w:cstheme="minorHAnsi"/>
                <w:color w:val="000000"/>
                <w:kern w:val="24"/>
              </w:rPr>
              <w:t>1,104,585</w:t>
            </w:r>
          </w:p>
        </w:tc>
      </w:tr>
      <w:tr w:rsidR="002C17B2" w:rsidRPr="00DF3598" w:rsidTr="00B73EA3">
        <w:trPr>
          <w:trHeight w:val="223"/>
        </w:trPr>
        <w:tc>
          <w:tcPr>
            <w:tcW w:w="2304" w:type="dxa"/>
            <w:shd w:val="clear" w:color="auto" w:fill="auto"/>
            <w:tcMar>
              <w:top w:w="72" w:type="dxa"/>
              <w:left w:w="144" w:type="dxa"/>
              <w:bottom w:w="72" w:type="dxa"/>
              <w:right w:w="144" w:type="dxa"/>
            </w:tcMar>
            <w:hideMark/>
          </w:tcPr>
          <w:p w:rsidR="002C17B2" w:rsidRPr="00174E3E" w:rsidRDefault="002C17B2" w:rsidP="004834E6">
            <w:pPr>
              <w:spacing w:after="0" w:line="240" w:lineRule="auto"/>
              <w:jc w:val="both"/>
              <w:rPr>
                <w:rFonts w:eastAsia="Times New Roman" w:cstheme="minorHAnsi"/>
              </w:rPr>
            </w:pPr>
            <w:r w:rsidRPr="00174E3E">
              <w:rPr>
                <w:rFonts w:eastAsia="Times New Roman" w:cstheme="minorHAnsi"/>
                <w:color w:val="000000"/>
                <w:kern w:val="24"/>
              </w:rPr>
              <w:t>Romblon</w:t>
            </w:r>
          </w:p>
        </w:tc>
        <w:tc>
          <w:tcPr>
            <w:tcW w:w="3150" w:type="dxa"/>
            <w:shd w:val="clear" w:color="auto" w:fill="auto"/>
            <w:tcMar>
              <w:top w:w="72" w:type="dxa"/>
              <w:left w:w="144" w:type="dxa"/>
              <w:bottom w:w="72" w:type="dxa"/>
              <w:right w:w="144" w:type="dxa"/>
            </w:tcMar>
            <w:vAlign w:val="center"/>
            <w:hideMark/>
          </w:tcPr>
          <w:p w:rsidR="002C17B2" w:rsidRPr="00174E3E" w:rsidRDefault="002C17B2" w:rsidP="004834E6">
            <w:pPr>
              <w:spacing w:after="0" w:line="240" w:lineRule="auto"/>
              <w:jc w:val="both"/>
              <w:rPr>
                <w:rFonts w:eastAsia="Times New Roman" w:cstheme="minorHAnsi"/>
              </w:rPr>
            </w:pPr>
            <w:r w:rsidRPr="00174E3E">
              <w:rPr>
                <w:rFonts w:eastAsia="Times New Roman" w:cstheme="minorHAnsi"/>
                <w:color w:val="000000"/>
                <w:kern w:val="24"/>
              </w:rPr>
              <w:t>293,781</w:t>
            </w:r>
          </w:p>
        </w:tc>
      </w:tr>
      <w:tr w:rsidR="002C17B2" w:rsidRPr="00DF3598" w:rsidTr="00B73EA3">
        <w:trPr>
          <w:trHeight w:val="223"/>
        </w:trPr>
        <w:tc>
          <w:tcPr>
            <w:tcW w:w="2304" w:type="dxa"/>
            <w:shd w:val="clear" w:color="auto" w:fill="auto"/>
            <w:tcMar>
              <w:top w:w="72" w:type="dxa"/>
              <w:left w:w="144" w:type="dxa"/>
              <w:bottom w:w="72" w:type="dxa"/>
              <w:right w:w="144" w:type="dxa"/>
            </w:tcMar>
            <w:hideMark/>
          </w:tcPr>
          <w:p w:rsidR="002C17B2" w:rsidRPr="00174E3E" w:rsidRDefault="002C17B2" w:rsidP="004834E6">
            <w:pPr>
              <w:spacing w:after="0" w:line="240" w:lineRule="auto"/>
              <w:jc w:val="both"/>
              <w:rPr>
                <w:rFonts w:eastAsia="Times New Roman" w:cstheme="minorHAnsi"/>
              </w:rPr>
            </w:pPr>
            <w:r w:rsidRPr="00174E3E">
              <w:rPr>
                <w:rFonts w:eastAsia="Times New Roman" w:cstheme="minorHAnsi"/>
                <w:color w:val="000000"/>
                <w:kern w:val="24"/>
              </w:rPr>
              <w:t>TOTAL</w:t>
            </w:r>
          </w:p>
        </w:tc>
        <w:tc>
          <w:tcPr>
            <w:tcW w:w="3150" w:type="dxa"/>
            <w:shd w:val="clear" w:color="auto" w:fill="auto"/>
            <w:tcMar>
              <w:top w:w="72" w:type="dxa"/>
              <w:left w:w="144" w:type="dxa"/>
              <w:bottom w:w="72" w:type="dxa"/>
              <w:right w:w="144" w:type="dxa"/>
            </w:tcMar>
            <w:vAlign w:val="center"/>
            <w:hideMark/>
          </w:tcPr>
          <w:p w:rsidR="002C17B2" w:rsidRPr="00174E3E" w:rsidRDefault="002C17B2" w:rsidP="004834E6">
            <w:pPr>
              <w:spacing w:after="0" w:line="240" w:lineRule="auto"/>
              <w:jc w:val="both"/>
              <w:rPr>
                <w:rFonts w:eastAsia="Times New Roman" w:cstheme="minorHAnsi"/>
              </w:rPr>
            </w:pPr>
            <w:r w:rsidRPr="00174E3E">
              <w:rPr>
                <w:rFonts w:eastAsia="Times New Roman" w:cstheme="minorHAnsi"/>
                <w:color w:val="000000"/>
                <w:kern w:val="24"/>
              </w:rPr>
              <w:t>2,963,360</w:t>
            </w:r>
          </w:p>
        </w:tc>
      </w:tr>
    </w:tbl>
    <w:p w:rsidR="00756786" w:rsidRPr="00DF3598" w:rsidRDefault="00756786" w:rsidP="004834E6">
      <w:pPr>
        <w:spacing w:after="0" w:line="240" w:lineRule="auto"/>
        <w:jc w:val="both"/>
        <w:rPr>
          <w:sz w:val="24"/>
          <w:szCs w:val="24"/>
        </w:rPr>
      </w:pPr>
    </w:p>
    <w:p w:rsidR="00756786" w:rsidRDefault="00756786" w:rsidP="004834E6">
      <w:pPr>
        <w:spacing w:after="0" w:line="240" w:lineRule="auto"/>
        <w:jc w:val="both"/>
        <w:rPr>
          <w:sz w:val="24"/>
          <w:szCs w:val="24"/>
        </w:rPr>
      </w:pPr>
    </w:p>
    <w:p w:rsidR="00A759C6" w:rsidRDefault="00A759C6" w:rsidP="004834E6">
      <w:pPr>
        <w:spacing w:after="0" w:line="240" w:lineRule="auto"/>
        <w:jc w:val="both"/>
        <w:rPr>
          <w:sz w:val="24"/>
          <w:szCs w:val="24"/>
        </w:rPr>
      </w:pPr>
    </w:p>
    <w:p w:rsidR="00B73EA3" w:rsidRPr="00DF3598" w:rsidRDefault="00B73EA3" w:rsidP="004834E6">
      <w:pPr>
        <w:spacing w:after="0" w:line="240" w:lineRule="auto"/>
        <w:jc w:val="both"/>
        <w:rPr>
          <w:sz w:val="24"/>
          <w:szCs w:val="24"/>
        </w:rPr>
      </w:pPr>
    </w:p>
    <w:p w:rsidR="00756786" w:rsidRPr="00DF3598" w:rsidRDefault="00756786" w:rsidP="004834E6">
      <w:pPr>
        <w:spacing w:after="0" w:line="240" w:lineRule="auto"/>
        <w:jc w:val="both"/>
        <w:rPr>
          <w:b/>
          <w:sz w:val="24"/>
          <w:szCs w:val="24"/>
        </w:rPr>
      </w:pPr>
      <w:r w:rsidRPr="00DF3598">
        <w:rPr>
          <w:b/>
          <w:sz w:val="24"/>
          <w:szCs w:val="24"/>
        </w:rPr>
        <w:t>Chapter III:  Analysis of TVET Provision</w:t>
      </w:r>
    </w:p>
    <w:p w:rsidR="00756786" w:rsidRPr="00DF3598" w:rsidRDefault="00756786" w:rsidP="004834E6">
      <w:pPr>
        <w:spacing w:after="0" w:line="240" w:lineRule="auto"/>
        <w:jc w:val="both"/>
        <w:rPr>
          <w:sz w:val="24"/>
          <w:szCs w:val="24"/>
        </w:rPr>
      </w:pPr>
    </w:p>
    <w:p w:rsidR="001D1696" w:rsidRPr="00DF3598" w:rsidRDefault="001D1696" w:rsidP="004834E6">
      <w:pPr>
        <w:spacing w:after="0" w:line="240" w:lineRule="auto"/>
        <w:jc w:val="both"/>
        <w:rPr>
          <w:rFonts w:cs="Arial"/>
          <w:b/>
          <w:sz w:val="24"/>
          <w:szCs w:val="24"/>
          <w:u w:val="single"/>
        </w:rPr>
      </w:pPr>
      <w:r w:rsidRPr="00DF3598">
        <w:rPr>
          <w:sz w:val="24"/>
          <w:szCs w:val="24"/>
        </w:rPr>
        <w:tab/>
      </w:r>
      <w:r w:rsidRPr="00DF3598">
        <w:rPr>
          <w:rFonts w:cs="Arial"/>
          <w:b/>
          <w:sz w:val="24"/>
          <w:szCs w:val="24"/>
          <w:u w:val="single"/>
        </w:rPr>
        <w:t>TVET Programs and Absorptive Capacity</w:t>
      </w:r>
    </w:p>
    <w:p w:rsidR="001D1696" w:rsidRPr="00DF3598" w:rsidRDefault="001D1696" w:rsidP="004834E6">
      <w:pPr>
        <w:spacing w:after="0" w:line="240" w:lineRule="auto"/>
        <w:jc w:val="both"/>
        <w:rPr>
          <w:rFonts w:cs="Arial"/>
          <w:b/>
          <w:sz w:val="24"/>
          <w:szCs w:val="24"/>
          <w:u w:val="single"/>
        </w:rPr>
      </w:pPr>
      <w:r w:rsidRPr="00DF3598">
        <w:rPr>
          <w:rFonts w:cs="Arial"/>
          <w:b/>
          <w:sz w:val="24"/>
          <w:szCs w:val="24"/>
          <w:u w:val="single"/>
        </w:rPr>
        <w:t xml:space="preserve"> </w:t>
      </w:r>
    </w:p>
    <w:p w:rsidR="001D1696" w:rsidRPr="00DF3598" w:rsidRDefault="001D1696" w:rsidP="004834E6">
      <w:pPr>
        <w:pStyle w:val="ListParagraph"/>
        <w:spacing w:after="100" w:afterAutospacing="1" w:line="240" w:lineRule="auto"/>
        <w:ind w:left="0" w:firstLine="720"/>
        <w:jc w:val="both"/>
        <w:rPr>
          <w:rFonts w:cs="Arial"/>
          <w:sz w:val="24"/>
          <w:szCs w:val="24"/>
        </w:rPr>
      </w:pPr>
      <w:r w:rsidRPr="00DF3598">
        <w:rPr>
          <w:rFonts w:cs="Arial"/>
          <w:sz w:val="24"/>
          <w:szCs w:val="24"/>
        </w:rPr>
        <w:t>As of December 2016, there are 113 Technical Vocational Institutions (TVIs) with registered programs in the Region, 96 or 84.9 % of which are private and 17 or 15.1% are publicly-governed. These include TESDA Technology Institutions (TTIs) in Oriental Mindoro, Palawan, Marinduque and Romblon.  Occidental Mindoro is the only province in the region without TESDA Technology Institution or TTI.</w:t>
      </w:r>
    </w:p>
    <w:p w:rsidR="001D1696" w:rsidRPr="00DF3598" w:rsidRDefault="001D1696" w:rsidP="004834E6">
      <w:pPr>
        <w:pStyle w:val="ListParagraph"/>
        <w:spacing w:after="100" w:afterAutospacing="1" w:line="240" w:lineRule="auto"/>
        <w:ind w:left="0" w:firstLine="720"/>
        <w:jc w:val="both"/>
        <w:rPr>
          <w:rFonts w:cs="Arial"/>
          <w:sz w:val="24"/>
          <w:szCs w:val="24"/>
        </w:rPr>
      </w:pPr>
    </w:p>
    <w:p w:rsidR="001D1696" w:rsidRPr="00DF3598" w:rsidRDefault="001D1696" w:rsidP="004834E6">
      <w:pPr>
        <w:pStyle w:val="ListParagraph"/>
        <w:spacing w:after="100" w:afterAutospacing="1" w:line="240" w:lineRule="auto"/>
        <w:ind w:left="0" w:firstLine="720"/>
        <w:jc w:val="both"/>
        <w:rPr>
          <w:rFonts w:cs="Arial"/>
          <w:sz w:val="24"/>
          <w:szCs w:val="24"/>
        </w:rPr>
      </w:pPr>
      <w:r w:rsidRPr="00DF3598">
        <w:rPr>
          <w:rFonts w:cs="Arial"/>
          <w:sz w:val="24"/>
          <w:szCs w:val="24"/>
        </w:rPr>
        <w:t>Majority of the TVIs are in Mindoro and Palawan with 35 (37.6%) and 21 (22.5%) respectively.  Mindoro Occidental has 10 TVIs (10.7%), Marinduque with 4 (4.3%), and Romblon with 6 (6.4%).  Mobile Training Providers (MTPs) totaling ten (10) provided the necessary push to enhance the training capacity of the region. As of October 2016, the programs registered under “</w:t>
      </w:r>
      <w:r w:rsidRPr="00DF3598">
        <w:rPr>
          <w:rFonts w:cs="Arial"/>
          <w:sz w:val="24"/>
          <w:szCs w:val="24"/>
          <w:u w:val="single"/>
        </w:rPr>
        <w:t>W</w:t>
      </w:r>
      <w:r w:rsidRPr="00DF3598">
        <w:rPr>
          <w:rFonts w:cs="Arial"/>
          <w:sz w:val="24"/>
          <w:szCs w:val="24"/>
        </w:rPr>
        <w:t xml:space="preserve">ith </w:t>
      </w:r>
      <w:r w:rsidRPr="00DF3598">
        <w:rPr>
          <w:rFonts w:cs="Arial"/>
          <w:sz w:val="24"/>
          <w:szCs w:val="24"/>
          <w:u w:val="single"/>
        </w:rPr>
        <w:t>T</w:t>
      </w:r>
      <w:r w:rsidRPr="00DF3598">
        <w:rPr>
          <w:rFonts w:cs="Arial"/>
          <w:sz w:val="24"/>
          <w:szCs w:val="24"/>
        </w:rPr>
        <w:t xml:space="preserve">raining </w:t>
      </w:r>
      <w:r w:rsidRPr="00DF3598">
        <w:rPr>
          <w:rFonts w:cs="Arial"/>
          <w:sz w:val="24"/>
          <w:szCs w:val="24"/>
          <w:u w:val="single"/>
        </w:rPr>
        <w:t>R</w:t>
      </w:r>
      <w:r w:rsidRPr="00DF3598">
        <w:rPr>
          <w:rFonts w:cs="Arial"/>
          <w:sz w:val="24"/>
          <w:szCs w:val="24"/>
        </w:rPr>
        <w:t xml:space="preserve">egulations” have a total of 368.  These registered programs belonged to the 16 sectors namely, agri-fishery, automotive, garments, general infrastructure, health, social &amp; other community development services, heating, ventilation, airconditioning and refrigeration, information and communication technology, land transportation, language and culture, maritime, metals and engineering, processed food and beverages, semi-conductor and electronics, tourism (hotels and restaurant) and TVET.  </w:t>
      </w:r>
    </w:p>
    <w:p w:rsidR="001D1696" w:rsidRPr="00DF3598" w:rsidRDefault="001D1696" w:rsidP="004834E6">
      <w:pPr>
        <w:pStyle w:val="ListParagraph"/>
        <w:spacing w:after="100" w:afterAutospacing="1" w:line="240" w:lineRule="auto"/>
        <w:ind w:left="0" w:firstLine="720"/>
        <w:jc w:val="both"/>
        <w:rPr>
          <w:rFonts w:cs="Arial"/>
          <w:sz w:val="24"/>
          <w:szCs w:val="24"/>
        </w:rPr>
      </w:pPr>
    </w:p>
    <w:p w:rsidR="001D1696" w:rsidRPr="00DF3598" w:rsidRDefault="001D1696" w:rsidP="004834E6">
      <w:pPr>
        <w:pStyle w:val="ListParagraph"/>
        <w:spacing w:after="100" w:afterAutospacing="1" w:line="240" w:lineRule="auto"/>
        <w:ind w:left="0" w:firstLine="720"/>
        <w:jc w:val="both"/>
        <w:rPr>
          <w:rFonts w:cs="Arial"/>
          <w:sz w:val="24"/>
          <w:szCs w:val="24"/>
        </w:rPr>
      </w:pPr>
      <w:r w:rsidRPr="00DF3598">
        <w:rPr>
          <w:rFonts w:cs="Arial"/>
          <w:sz w:val="24"/>
          <w:szCs w:val="24"/>
        </w:rPr>
        <w:t xml:space="preserve"> The estimated absorptive capacity of the training institutions in MIMAROPA is 52,175 trainees per year. This figure is distributed into the five (5) provinces based on their respective number of registered programs and the number of household population 15 years old and above; and manifested in their respective work and financial plans. </w:t>
      </w:r>
    </w:p>
    <w:p w:rsidR="001D1696" w:rsidRPr="00DF3598" w:rsidRDefault="001D1696" w:rsidP="004834E6">
      <w:pPr>
        <w:pStyle w:val="ListParagraph"/>
        <w:spacing w:after="100" w:afterAutospacing="1" w:line="240" w:lineRule="auto"/>
        <w:ind w:left="0"/>
        <w:jc w:val="both"/>
        <w:rPr>
          <w:rFonts w:cs="Arial"/>
          <w:sz w:val="24"/>
          <w:szCs w:val="24"/>
        </w:rPr>
      </w:pPr>
      <w:r w:rsidRPr="00DF3598">
        <w:rPr>
          <w:rFonts w:cs="Arial"/>
          <w:sz w:val="24"/>
          <w:szCs w:val="24"/>
        </w:rPr>
        <w:tab/>
        <w:t xml:space="preserve"> </w:t>
      </w:r>
    </w:p>
    <w:p w:rsidR="001D1696" w:rsidRPr="00DF3598" w:rsidRDefault="001D1696" w:rsidP="004834E6">
      <w:pPr>
        <w:pStyle w:val="ListParagraph"/>
        <w:spacing w:after="100" w:afterAutospacing="1" w:line="240" w:lineRule="auto"/>
        <w:ind w:left="0" w:firstLine="720"/>
        <w:jc w:val="both"/>
        <w:rPr>
          <w:rFonts w:cs="Arial"/>
          <w:sz w:val="24"/>
          <w:szCs w:val="24"/>
        </w:rPr>
      </w:pPr>
      <w:r w:rsidRPr="00DF3598">
        <w:rPr>
          <w:rFonts w:cs="Arial"/>
          <w:sz w:val="24"/>
          <w:szCs w:val="24"/>
        </w:rPr>
        <w:t>On the other hand, the number of trainers with National TVET Trainers Certificate (NTTC) totaled 777. The number is expected to increase drastically because of the full implementation of the enhanced basic education or the K to 12 program, enhanced tie-ups with Agricultural Training Institute (ATI) for agriculture providers, cooperation with SUCs and LUCs and private investors.</w:t>
      </w:r>
    </w:p>
    <w:p w:rsidR="001D1696" w:rsidRPr="00DF3598" w:rsidRDefault="001D1696" w:rsidP="004834E6">
      <w:pPr>
        <w:spacing w:after="0" w:line="240" w:lineRule="auto"/>
        <w:ind w:firstLine="720"/>
        <w:jc w:val="both"/>
        <w:rPr>
          <w:rFonts w:cs="Calibri"/>
          <w:sz w:val="24"/>
          <w:szCs w:val="24"/>
        </w:rPr>
      </w:pPr>
      <w:r w:rsidRPr="00DF3598">
        <w:rPr>
          <w:rFonts w:cs="Calibri"/>
          <w:sz w:val="24"/>
          <w:szCs w:val="24"/>
        </w:rPr>
        <w:t>The partnership agreement</w:t>
      </w:r>
      <w:r w:rsidR="006440DD" w:rsidRPr="00DF3598">
        <w:rPr>
          <w:rFonts w:cs="Calibri"/>
          <w:sz w:val="24"/>
          <w:szCs w:val="24"/>
        </w:rPr>
        <w:t xml:space="preserve"> with various stakeholders and key partners</w:t>
      </w:r>
      <w:r w:rsidRPr="00DF3598">
        <w:rPr>
          <w:rFonts w:cs="Calibri"/>
          <w:sz w:val="24"/>
          <w:szCs w:val="24"/>
        </w:rPr>
        <w:t xml:space="preserve"> enables TESDA MIMAROPA to pursue effective job-skills matching, policy consultation, conduct of industry studies, assessment and certification of workers, and promotion of Dual Training System (DTS), TESDA</w:t>
      </w:r>
      <w:r w:rsidR="006440DD" w:rsidRPr="00DF3598">
        <w:rPr>
          <w:rFonts w:cs="Calibri"/>
          <w:sz w:val="24"/>
          <w:szCs w:val="24"/>
        </w:rPr>
        <w:t>’s</w:t>
      </w:r>
      <w:r w:rsidRPr="00DF3598">
        <w:rPr>
          <w:rFonts w:cs="Calibri"/>
          <w:sz w:val="24"/>
          <w:szCs w:val="24"/>
        </w:rPr>
        <w:t xml:space="preserve"> flagship program and the preferred mode of training delivery by the companies and enterprises.</w:t>
      </w:r>
    </w:p>
    <w:p w:rsidR="00584020" w:rsidRPr="00DF3598" w:rsidRDefault="00584020" w:rsidP="004834E6">
      <w:pPr>
        <w:spacing w:after="0" w:line="240" w:lineRule="auto"/>
        <w:jc w:val="both"/>
        <w:rPr>
          <w:sz w:val="24"/>
          <w:szCs w:val="24"/>
        </w:rPr>
      </w:pPr>
    </w:p>
    <w:p w:rsidR="006440DD" w:rsidRPr="00DF3598" w:rsidRDefault="006440DD" w:rsidP="004834E6">
      <w:pPr>
        <w:spacing w:after="0" w:line="240" w:lineRule="auto"/>
        <w:jc w:val="both"/>
        <w:rPr>
          <w:sz w:val="24"/>
          <w:szCs w:val="24"/>
        </w:rPr>
      </w:pPr>
      <w:r w:rsidRPr="00DF3598">
        <w:rPr>
          <w:sz w:val="24"/>
          <w:szCs w:val="24"/>
        </w:rPr>
        <w:tab/>
        <w:t xml:space="preserve">Training Programs were conducted </w:t>
      </w:r>
      <w:r w:rsidR="008656E7" w:rsidRPr="00DF3598">
        <w:rPr>
          <w:sz w:val="24"/>
          <w:szCs w:val="24"/>
        </w:rPr>
        <w:t xml:space="preserve">in the three modalities of training such as </w:t>
      </w:r>
      <w:r w:rsidRPr="00DF3598">
        <w:rPr>
          <w:sz w:val="24"/>
          <w:szCs w:val="24"/>
        </w:rPr>
        <w:t xml:space="preserve">Institution-Based Programs, Community-Based Programs and Enterprise-Based Programs.  </w:t>
      </w:r>
      <w:r w:rsidR="008656E7" w:rsidRPr="00DF3598">
        <w:rPr>
          <w:sz w:val="24"/>
          <w:szCs w:val="24"/>
        </w:rPr>
        <w:t xml:space="preserve">Beneficiaries of these training programs were out-of-school youth, unemployed adults, high school graduates, Indigenous Peoples (IPs), </w:t>
      </w:r>
      <w:r w:rsidR="0065242D" w:rsidRPr="00DF3598">
        <w:rPr>
          <w:sz w:val="24"/>
          <w:szCs w:val="24"/>
        </w:rPr>
        <w:t>s</w:t>
      </w:r>
      <w:r w:rsidR="008656E7" w:rsidRPr="00DF3598">
        <w:rPr>
          <w:sz w:val="24"/>
          <w:szCs w:val="24"/>
        </w:rPr>
        <w:t xml:space="preserve">enior </w:t>
      </w:r>
      <w:r w:rsidR="0065242D" w:rsidRPr="00DF3598">
        <w:rPr>
          <w:sz w:val="24"/>
          <w:szCs w:val="24"/>
        </w:rPr>
        <w:t>c</w:t>
      </w:r>
      <w:r w:rsidR="008656E7" w:rsidRPr="00DF3598">
        <w:rPr>
          <w:sz w:val="24"/>
          <w:szCs w:val="24"/>
        </w:rPr>
        <w:t xml:space="preserve">itizens, </w:t>
      </w:r>
      <w:r w:rsidR="0065242D" w:rsidRPr="00DF3598">
        <w:rPr>
          <w:sz w:val="24"/>
          <w:szCs w:val="24"/>
        </w:rPr>
        <w:t>s</w:t>
      </w:r>
      <w:r w:rsidR="008656E7" w:rsidRPr="00DF3598">
        <w:rPr>
          <w:sz w:val="24"/>
          <w:szCs w:val="24"/>
        </w:rPr>
        <w:t xml:space="preserve">olo </w:t>
      </w:r>
      <w:r w:rsidR="0065242D" w:rsidRPr="00DF3598">
        <w:rPr>
          <w:sz w:val="24"/>
          <w:szCs w:val="24"/>
        </w:rPr>
        <w:t>p</w:t>
      </w:r>
      <w:r w:rsidR="008656E7" w:rsidRPr="00DF3598">
        <w:rPr>
          <w:sz w:val="24"/>
          <w:szCs w:val="24"/>
        </w:rPr>
        <w:t xml:space="preserve">arents, drug </w:t>
      </w:r>
      <w:r w:rsidR="009A1B95" w:rsidRPr="00DF3598">
        <w:rPr>
          <w:sz w:val="24"/>
          <w:szCs w:val="24"/>
        </w:rPr>
        <w:t>dependents</w:t>
      </w:r>
      <w:r w:rsidR="008656E7" w:rsidRPr="00DF3598">
        <w:rPr>
          <w:sz w:val="24"/>
          <w:szCs w:val="24"/>
        </w:rPr>
        <w:t xml:space="preserve">, </w:t>
      </w:r>
      <w:r w:rsidR="00D9305E" w:rsidRPr="00DF3598">
        <w:rPr>
          <w:sz w:val="24"/>
          <w:szCs w:val="24"/>
        </w:rPr>
        <w:t xml:space="preserve">women, inmates, </w:t>
      </w:r>
      <w:r w:rsidR="009A1B95" w:rsidRPr="00DF3598">
        <w:rPr>
          <w:sz w:val="24"/>
          <w:szCs w:val="24"/>
        </w:rPr>
        <w:t>uniformed personnel, Persons with Disabilities (PWDs), Overseas Filipino Workers (OFWs), TESDA Alumni, entrepreneurs, farmers and trainers.</w:t>
      </w:r>
    </w:p>
    <w:p w:rsidR="009A1B95" w:rsidRPr="00DF3598" w:rsidRDefault="009A1B95" w:rsidP="004834E6">
      <w:pPr>
        <w:spacing w:after="0" w:line="240" w:lineRule="auto"/>
        <w:jc w:val="both"/>
        <w:rPr>
          <w:sz w:val="24"/>
          <w:szCs w:val="24"/>
        </w:rPr>
      </w:pPr>
    </w:p>
    <w:p w:rsidR="006B12F5" w:rsidRPr="00DF3598" w:rsidRDefault="007C1F45" w:rsidP="004834E6">
      <w:pPr>
        <w:spacing w:after="0" w:line="240" w:lineRule="auto"/>
        <w:ind w:firstLine="720"/>
        <w:jc w:val="both"/>
        <w:rPr>
          <w:sz w:val="24"/>
          <w:szCs w:val="24"/>
        </w:rPr>
      </w:pPr>
      <w:r w:rsidRPr="00DF3598">
        <w:rPr>
          <w:sz w:val="24"/>
          <w:szCs w:val="24"/>
        </w:rPr>
        <w:t xml:space="preserve">Top </w:t>
      </w:r>
      <w:r w:rsidR="006B12F5" w:rsidRPr="00DF3598">
        <w:rPr>
          <w:sz w:val="24"/>
          <w:szCs w:val="24"/>
        </w:rPr>
        <w:t>ten</w:t>
      </w:r>
      <w:r w:rsidRPr="00DF3598">
        <w:rPr>
          <w:sz w:val="24"/>
          <w:szCs w:val="24"/>
        </w:rPr>
        <w:t xml:space="preserve"> (10)</w:t>
      </w:r>
      <w:r w:rsidR="006B12F5" w:rsidRPr="00DF3598">
        <w:rPr>
          <w:sz w:val="24"/>
          <w:szCs w:val="24"/>
        </w:rPr>
        <w:t xml:space="preserve"> </w:t>
      </w:r>
      <w:r w:rsidR="004834E6" w:rsidRPr="00DF3598">
        <w:rPr>
          <w:sz w:val="24"/>
          <w:szCs w:val="24"/>
        </w:rPr>
        <w:t>qualifications</w:t>
      </w:r>
      <w:r w:rsidR="006B12F5" w:rsidRPr="00DF3598">
        <w:rPr>
          <w:sz w:val="24"/>
          <w:szCs w:val="24"/>
        </w:rPr>
        <w:t xml:space="preserve"> </w:t>
      </w:r>
      <w:r w:rsidRPr="00DF3598">
        <w:rPr>
          <w:sz w:val="24"/>
          <w:szCs w:val="24"/>
        </w:rPr>
        <w:t xml:space="preserve">for CY 2015 </w:t>
      </w:r>
      <w:r w:rsidR="006B12F5" w:rsidRPr="00DF3598">
        <w:rPr>
          <w:sz w:val="24"/>
          <w:szCs w:val="24"/>
        </w:rPr>
        <w:t xml:space="preserve">with the highest enrolled were </w:t>
      </w:r>
      <w:r w:rsidRPr="00DF3598">
        <w:rPr>
          <w:sz w:val="24"/>
          <w:szCs w:val="24"/>
        </w:rPr>
        <w:t xml:space="preserve">Shielded Metal Arc Welding NC II, Electrical Installation and Maintenance NC II, Motorcycle/Small Engine Servicing NC II, Housekeeping NC II, Food Processing NC II, Food and Beverage Services NC II, Bread and Pastry Production NC II, Tourism Promotion Services NC II, Events Management Services NC III and Masonry NC II. </w:t>
      </w:r>
      <w:r w:rsidR="006B12F5" w:rsidRPr="00DF3598">
        <w:rPr>
          <w:sz w:val="24"/>
          <w:szCs w:val="24"/>
        </w:rPr>
        <w:t xml:space="preserve">(Table </w:t>
      </w:r>
      <w:r w:rsidR="00174E3E">
        <w:rPr>
          <w:sz w:val="24"/>
          <w:szCs w:val="24"/>
        </w:rPr>
        <w:t>2</w:t>
      </w:r>
      <w:r w:rsidR="006B12F5" w:rsidRPr="00DF3598">
        <w:rPr>
          <w:sz w:val="24"/>
          <w:szCs w:val="24"/>
        </w:rPr>
        <w:t xml:space="preserve"> – Top Ten Qualifications with Highest Enrollment</w:t>
      </w:r>
      <w:r w:rsidR="004834E6" w:rsidRPr="00DF3598">
        <w:rPr>
          <w:sz w:val="24"/>
          <w:szCs w:val="24"/>
        </w:rPr>
        <w:t>, CY 2015</w:t>
      </w:r>
      <w:r w:rsidR="006B12F5" w:rsidRPr="00DF3598">
        <w:rPr>
          <w:sz w:val="24"/>
          <w:szCs w:val="24"/>
        </w:rPr>
        <w:t>)</w:t>
      </w:r>
    </w:p>
    <w:p w:rsidR="006B12F5" w:rsidRPr="00DF3598" w:rsidRDefault="006B12F5" w:rsidP="004834E6">
      <w:pPr>
        <w:spacing w:after="0" w:line="240" w:lineRule="auto"/>
        <w:jc w:val="both"/>
        <w:rPr>
          <w:sz w:val="24"/>
          <w:szCs w:val="24"/>
        </w:rPr>
      </w:pPr>
    </w:p>
    <w:p w:rsidR="006B12F5" w:rsidRPr="00A759C6" w:rsidRDefault="007C1F45" w:rsidP="004834E6">
      <w:pPr>
        <w:spacing w:after="0" w:line="240" w:lineRule="auto"/>
        <w:jc w:val="center"/>
        <w:rPr>
          <w:b/>
          <w:sz w:val="24"/>
          <w:szCs w:val="24"/>
        </w:rPr>
      </w:pPr>
      <w:r w:rsidRPr="00A759C6">
        <w:rPr>
          <w:b/>
          <w:sz w:val="24"/>
          <w:szCs w:val="24"/>
        </w:rPr>
        <w:t xml:space="preserve">Table </w:t>
      </w:r>
      <w:r w:rsidR="00A759C6" w:rsidRPr="00A759C6">
        <w:rPr>
          <w:b/>
          <w:sz w:val="24"/>
          <w:szCs w:val="24"/>
        </w:rPr>
        <w:t>4</w:t>
      </w:r>
      <w:r w:rsidRPr="00A759C6">
        <w:rPr>
          <w:b/>
          <w:sz w:val="24"/>
          <w:szCs w:val="24"/>
        </w:rPr>
        <w:t xml:space="preserve">. </w:t>
      </w:r>
      <w:r w:rsidR="006B12F5" w:rsidRPr="00A759C6">
        <w:rPr>
          <w:b/>
          <w:sz w:val="24"/>
          <w:szCs w:val="24"/>
        </w:rPr>
        <w:t>Top Ten Qualifications with Highest Enrollment</w:t>
      </w:r>
    </w:p>
    <w:p w:rsidR="006B12F5" w:rsidRPr="00A759C6" w:rsidRDefault="006B12F5" w:rsidP="004834E6">
      <w:pPr>
        <w:tabs>
          <w:tab w:val="left" w:pos="1320"/>
        </w:tabs>
        <w:spacing w:after="0" w:line="240" w:lineRule="auto"/>
        <w:jc w:val="center"/>
        <w:rPr>
          <w:b/>
          <w:sz w:val="24"/>
          <w:szCs w:val="24"/>
        </w:rPr>
      </w:pPr>
      <w:r w:rsidRPr="00A759C6">
        <w:rPr>
          <w:b/>
          <w:sz w:val="24"/>
          <w:szCs w:val="24"/>
        </w:rPr>
        <w:t>CY 2015</w:t>
      </w:r>
    </w:p>
    <w:p w:rsidR="006B12F5" w:rsidRPr="00DF3598" w:rsidRDefault="006B12F5" w:rsidP="004834E6">
      <w:pPr>
        <w:spacing w:after="0" w:line="240" w:lineRule="auto"/>
        <w:jc w:val="both"/>
        <w:rPr>
          <w:sz w:val="24"/>
          <w:szCs w:val="24"/>
        </w:rPr>
      </w:pPr>
    </w:p>
    <w:tbl>
      <w:tblPr>
        <w:tblW w:w="7905"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5919"/>
        <w:gridCol w:w="1026"/>
      </w:tblGrid>
      <w:tr w:rsidR="006B12F5" w:rsidRPr="00DF3598" w:rsidTr="00BF6244">
        <w:trPr>
          <w:trHeight w:val="315"/>
        </w:trPr>
        <w:tc>
          <w:tcPr>
            <w:tcW w:w="960" w:type="dxa"/>
            <w:shd w:val="clear" w:color="auto" w:fill="auto"/>
            <w:noWrap/>
            <w:vAlign w:val="bottom"/>
          </w:tcPr>
          <w:p w:rsidR="006B12F5" w:rsidRPr="00DF3598" w:rsidRDefault="006B12F5" w:rsidP="004834E6">
            <w:pPr>
              <w:spacing w:after="0" w:line="240" w:lineRule="auto"/>
              <w:jc w:val="both"/>
              <w:rPr>
                <w:rFonts w:ascii="Calibri" w:eastAsia="Times New Roman" w:hAnsi="Calibri" w:cs="Calibri"/>
                <w:color w:val="000000"/>
                <w:sz w:val="24"/>
                <w:szCs w:val="24"/>
              </w:rPr>
            </w:pPr>
            <w:r w:rsidRPr="00DF3598">
              <w:rPr>
                <w:rFonts w:ascii="Calibri" w:eastAsia="Times New Roman" w:hAnsi="Calibri" w:cs="Calibri"/>
                <w:color w:val="000000"/>
                <w:sz w:val="24"/>
                <w:szCs w:val="24"/>
              </w:rPr>
              <w:t>Rank</w:t>
            </w:r>
          </w:p>
        </w:tc>
        <w:tc>
          <w:tcPr>
            <w:tcW w:w="5985" w:type="dxa"/>
            <w:shd w:val="clear" w:color="000000" w:fill="auto"/>
            <w:vAlign w:val="center"/>
          </w:tcPr>
          <w:p w:rsidR="006B12F5" w:rsidRPr="00DF3598" w:rsidRDefault="006B12F5" w:rsidP="00DF3598">
            <w:pPr>
              <w:spacing w:after="0" w:line="240" w:lineRule="auto"/>
              <w:ind w:firstLineChars="100" w:firstLine="240"/>
              <w:jc w:val="both"/>
              <w:rPr>
                <w:rFonts w:ascii="Calibri" w:eastAsia="Times New Roman" w:hAnsi="Calibri" w:cs="Calibri"/>
                <w:color w:val="000000"/>
                <w:sz w:val="24"/>
                <w:szCs w:val="24"/>
              </w:rPr>
            </w:pPr>
            <w:r w:rsidRPr="00DF3598">
              <w:rPr>
                <w:rFonts w:ascii="Calibri" w:eastAsia="Times New Roman" w:hAnsi="Calibri" w:cs="Calibri"/>
                <w:color w:val="000000"/>
                <w:sz w:val="24"/>
                <w:szCs w:val="24"/>
              </w:rPr>
              <w:t>Qualification</w:t>
            </w:r>
          </w:p>
        </w:tc>
        <w:tc>
          <w:tcPr>
            <w:tcW w:w="960" w:type="dxa"/>
            <w:shd w:val="clear" w:color="auto" w:fill="auto"/>
            <w:noWrap/>
            <w:vAlign w:val="bottom"/>
          </w:tcPr>
          <w:p w:rsidR="006B12F5" w:rsidRPr="00DF3598" w:rsidRDefault="006B12F5" w:rsidP="004834E6">
            <w:pPr>
              <w:spacing w:after="0" w:line="240" w:lineRule="auto"/>
              <w:jc w:val="both"/>
              <w:rPr>
                <w:rFonts w:ascii="Calibri" w:eastAsia="Times New Roman" w:hAnsi="Calibri" w:cs="Calibri"/>
                <w:color w:val="000000"/>
                <w:sz w:val="24"/>
                <w:szCs w:val="24"/>
              </w:rPr>
            </w:pPr>
            <w:r w:rsidRPr="00DF3598">
              <w:rPr>
                <w:rFonts w:ascii="Calibri" w:eastAsia="Times New Roman" w:hAnsi="Calibri" w:cs="Calibri"/>
                <w:color w:val="000000"/>
                <w:sz w:val="24"/>
                <w:szCs w:val="24"/>
              </w:rPr>
              <w:t>Enrolled</w:t>
            </w:r>
          </w:p>
        </w:tc>
      </w:tr>
      <w:tr w:rsidR="006B12F5" w:rsidRPr="00DF3598" w:rsidTr="006B12F5">
        <w:trPr>
          <w:trHeight w:val="315"/>
        </w:trPr>
        <w:tc>
          <w:tcPr>
            <w:tcW w:w="960" w:type="dxa"/>
            <w:shd w:val="clear" w:color="auto" w:fill="auto"/>
            <w:noWrap/>
            <w:vAlign w:val="bottom"/>
            <w:hideMark/>
          </w:tcPr>
          <w:p w:rsidR="006B12F5" w:rsidRPr="00DF3598" w:rsidRDefault="006B12F5" w:rsidP="004834E6">
            <w:pPr>
              <w:spacing w:after="0" w:line="240" w:lineRule="auto"/>
              <w:jc w:val="both"/>
              <w:rPr>
                <w:rFonts w:ascii="Calibri" w:eastAsia="Times New Roman" w:hAnsi="Calibri" w:cs="Calibri"/>
                <w:color w:val="000000"/>
                <w:sz w:val="24"/>
                <w:szCs w:val="24"/>
              </w:rPr>
            </w:pPr>
            <w:r w:rsidRPr="00DF3598">
              <w:rPr>
                <w:rFonts w:ascii="Calibri" w:eastAsia="Times New Roman" w:hAnsi="Calibri" w:cs="Calibri"/>
                <w:color w:val="000000"/>
                <w:sz w:val="24"/>
                <w:szCs w:val="24"/>
              </w:rPr>
              <w:t>1</w:t>
            </w:r>
          </w:p>
        </w:tc>
        <w:tc>
          <w:tcPr>
            <w:tcW w:w="5985" w:type="dxa"/>
            <w:shd w:val="clear" w:color="000000" w:fill="auto"/>
            <w:vAlign w:val="center"/>
          </w:tcPr>
          <w:p w:rsidR="006B12F5" w:rsidRPr="00DF3598" w:rsidRDefault="006B12F5" w:rsidP="00DF3598">
            <w:pPr>
              <w:spacing w:after="0" w:line="240" w:lineRule="auto"/>
              <w:ind w:firstLineChars="100" w:firstLine="240"/>
              <w:jc w:val="both"/>
              <w:rPr>
                <w:rFonts w:ascii="Calibri" w:eastAsia="Times New Roman" w:hAnsi="Calibri" w:cs="Calibri"/>
                <w:color w:val="000000"/>
                <w:sz w:val="24"/>
                <w:szCs w:val="24"/>
              </w:rPr>
            </w:pPr>
            <w:r w:rsidRPr="00DF3598">
              <w:rPr>
                <w:rFonts w:ascii="Calibri" w:eastAsia="Times New Roman" w:hAnsi="Calibri" w:cs="Calibri"/>
                <w:color w:val="000000"/>
                <w:sz w:val="24"/>
                <w:szCs w:val="24"/>
              </w:rPr>
              <w:t>SMAW NC II</w:t>
            </w:r>
          </w:p>
        </w:tc>
        <w:tc>
          <w:tcPr>
            <w:tcW w:w="960" w:type="dxa"/>
            <w:shd w:val="clear" w:color="auto" w:fill="auto"/>
            <w:noWrap/>
            <w:vAlign w:val="bottom"/>
          </w:tcPr>
          <w:p w:rsidR="006B12F5" w:rsidRPr="00DF3598" w:rsidRDefault="006B12F5" w:rsidP="004834E6">
            <w:pPr>
              <w:spacing w:after="0" w:line="240" w:lineRule="auto"/>
              <w:jc w:val="both"/>
              <w:rPr>
                <w:rFonts w:ascii="Calibri" w:eastAsia="Times New Roman" w:hAnsi="Calibri" w:cs="Calibri"/>
                <w:color w:val="000000"/>
                <w:sz w:val="24"/>
                <w:szCs w:val="24"/>
              </w:rPr>
            </w:pPr>
            <w:r w:rsidRPr="00DF3598">
              <w:rPr>
                <w:rFonts w:ascii="Calibri" w:eastAsia="Times New Roman" w:hAnsi="Calibri" w:cs="Calibri"/>
                <w:color w:val="000000"/>
                <w:sz w:val="24"/>
                <w:szCs w:val="24"/>
              </w:rPr>
              <w:t>3713</w:t>
            </w:r>
          </w:p>
        </w:tc>
      </w:tr>
      <w:tr w:rsidR="006B12F5" w:rsidRPr="00DF3598" w:rsidTr="00BF6244">
        <w:trPr>
          <w:trHeight w:val="315"/>
        </w:trPr>
        <w:tc>
          <w:tcPr>
            <w:tcW w:w="960" w:type="dxa"/>
            <w:shd w:val="clear" w:color="auto" w:fill="auto"/>
            <w:noWrap/>
            <w:vAlign w:val="bottom"/>
          </w:tcPr>
          <w:p w:rsidR="006B12F5" w:rsidRPr="00DF3598" w:rsidRDefault="006B12F5" w:rsidP="004834E6">
            <w:pPr>
              <w:spacing w:after="0" w:line="240" w:lineRule="auto"/>
              <w:jc w:val="both"/>
              <w:rPr>
                <w:rFonts w:ascii="Calibri" w:eastAsia="Times New Roman" w:hAnsi="Calibri" w:cs="Calibri"/>
                <w:color w:val="000000"/>
                <w:sz w:val="24"/>
                <w:szCs w:val="24"/>
              </w:rPr>
            </w:pPr>
            <w:r w:rsidRPr="00DF3598">
              <w:rPr>
                <w:rFonts w:ascii="Calibri" w:eastAsia="Times New Roman" w:hAnsi="Calibri" w:cs="Calibri"/>
                <w:color w:val="000000"/>
                <w:sz w:val="24"/>
                <w:szCs w:val="24"/>
              </w:rPr>
              <w:t>2</w:t>
            </w:r>
          </w:p>
        </w:tc>
        <w:tc>
          <w:tcPr>
            <w:tcW w:w="5985" w:type="dxa"/>
            <w:shd w:val="clear" w:color="000000" w:fill="auto"/>
            <w:vAlign w:val="center"/>
          </w:tcPr>
          <w:p w:rsidR="006B12F5" w:rsidRPr="00DF3598" w:rsidRDefault="006B12F5" w:rsidP="00DF3598">
            <w:pPr>
              <w:spacing w:after="0" w:line="240" w:lineRule="auto"/>
              <w:ind w:firstLineChars="100" w:firstLine="240"/>
              <w:jc w:val="both"/>
              <w:rPr>
                <w:rFonts w:ascii="Calibri" w:eastAsia="Times New Roman" w:hAnsi="Calibri" w:cs="Calibri"/>
                <w:color w:val="000000"/>
                <w:sz w:val="24"/>
                <w:szCs w:val="24"/>
              </w:rPr>
            </w:pPr>
            <w:r w:rsidRPr="00DF3598">
              <w:rPr>
                <w:rFonts w:ascii="Calibri" w:eastAsia="Times New Roman" w:hAnsi="Calibri" w:cs="Calibri"/>
                <w:color w:val="000000"/>
                <w:sz w:val="24"/>
                <w:szCs w:val="24"/>
              </w:rPr>
              <w:t xml:space="preserve">Electrical Installation </w:t>
            </w:r>
            <w:r w:rsidR="007C1F45" w:rsidRPr="00DF3598">
              <w:rPr>
                <w:rFonts w:ascii="Calibri" w:eastAsia="Times New Roman" w:hAnsi="Calibri" w:cs="Calibri"/>
                <w:color w:val="000000"/>
                <w:sz w:val="24"/>
                <w:szCs w:val="24"/>
              </w:rPr>
              <w:t xml:space="preserve">and </w:t>
            </w:r>
            <w:r w:rsidRPr="00DF3598">
              <w:rPr>
                <w:rFonts w:ascii="Calibri" w:eastAsia="Times New Roman" w:hAnsi="Calibri" w:cs="Calibri"/>
                <w:color w:val="000000"/>
                <w:sz w:val="24"/>
                <w:szCs w:val="24"/>
              </w:rPr>
              <w:t>Maintenance NC II</w:t>
            </w:r>
          </w:p>
        </w:tc>
        <w:tc>
          <w:tcPr>
            <w:tcW w:w="960" w:type="dxa"/>
            <w:shd w:val="clear" w:color="auto" w:fill="auto"/>
            <w:noWrap/>
            <w:vAlign w:val="bottom"/>
          </w:tcPr>
          <w:p w:rsidR="006B12F5" w:rsidRPr="00DF3598" w:rsidRDefault="006B12F5" w:rsidP="004834E6">
            <w:pPr>
              <w:spacing w:after="0" w:line="240" w:lineRule="auto"/>
              <w:jc w:val="both"/>
              <w:rPr>
                <w:rFonts w:ascii="Calibri" w:eastAsia="Times New Roman" w:hAnsi="Calibri" w:cs="Calibri"/>
                <w:color w:val="000000"/>
                <w:sz w:val="24"/>
                <w:szCs w:val="24"/>
              </w:rPr>
            </w:pPr>
            <w:r w:rsidRPr="00DF3598">
              <w:rPr>
                <w:rFonts w:ascii="Calibri" w:eastAsia="Times New Roman" w:hAnsi="Calibri" w:cs="Calibri"/>
                <w:color w:val="000000"/>
                <w:sz w:val="24"/>
                <w:szCs w:val="24"/>
              </w:rPr>
              <w:t>3278</w:t>
            </w:r>
          </w:p>
        </w:tc>
      </w:tr>
      <w:tr w:rsidR="006B12F5" w:rsidRPr="00DF3598" w:rsidTr="00BF6244">
        <w:trPr>
          <w:trHeight w:val="315"/>
        </w:trPr>
        <w:tc>
          <w:tcPr>
            <w:tcW w:w="960" w:type="dxa"/>
            <w:shd w:val="clear" w:color="auto" w:fill="auto"/>
            <w:noWrap/>
            <w:vAlign w:val="bottom"/>
          </w:tcPr>
          <w:p w:rsidR="006B12F5" w:rsidRPr="00DF3598" w:rsidRDefault="006B12F5" w:rsidP="004834E6">
            <w:pPr>
              <w:spacing w:after="0" w:line="240" w:lineRule="auto"/>
              <w:jc w:val="both"/>
              <w:rPr>
                <w:rFonts w:ascii="Calibri" w:eastAsia="Times New Roman" w:hAnsi="Calibri" w:cs="Calibri"/>
                <w:color w:val="000000"/>
                <w:sz w:val="24"/>
                <w:szCs w:val="24"/>
              </w:rPr>
            </w:pPr>
            <w:r w:rsidRPr="00DF3598">
              <w:rPr>
                <w:rFonts w:ascii="Calibri" w:eastAsia="Times New Roman" w:hAnsi="Calibri" w:cs="Calibri"/>
                <w:color w:val="000000"/>
                <w:sz w:val="24"/>
                <w:szCs w:val="24"/>
              </w:rPr>
              <w:t>3</w:t>
            </w:r>
          </w:p>
        </w:tc>
        <w:tc>
          <w:tcPr>
            <w:tcW w:w="5985" w:type="dxa"/>
            <w:shd w:val="clear" w:color="000000" w:fill="auto"/>
            <w:vAlign w:val="center"/>
          </w:tcPr>
          <w:p w:rsidR="006B12F5" w:rsidRPr="00DF3598" w:rsidRDefault="007C1F45" w:rsidP="00DF3598">
            <w:pPr>
              <w:spacing w:after="0" w:line="240" w:lineRule="auto"/>
              <w:ind w:firstLineChars="100" w:firstLine="240"/>
              <w:jc w:val="both"/>
              <w:rPr>
                <w:rFonts w:ascii="Calibri" w:eastAsia="Times New Roman" w:hAnsi="Calibri" w:cs="Calibri"/>
                <w:color w:val="000000"/>
                <w:sz w:val="24"/>
                <w:szCs w:val="24"/>
              </w:rPr>
            </w:pPr>
            <w:r w:rsidRPr="00DF3598">
              <w:rPr>
                <w:rFonts w:ascii="Calibri" w:eastAsia="Times New Roman" w:hAnsi="Calibri" w:cs="Calibri"/>
                <w:color w:val="000000"/>
                <w:sz w:val="24"/>
                <w:szCs w:val="24"/>
              </w:rPr>
              <w:t>Motorcycle/Small Engine Servicing NC II</w:t>
            </w:r>
          </w:p>
        </w:tc>
        <w:tc>
          <w:tcPr>
            <w:tcW w:w="960" w:type="dxa"/>
            <w:shd w:val="clear" w:color="auto" w:fill="auto"/>
            <w:noWrap/>
            <w:vAlign w:val="bottom"/>
          </w:tcPr>
          <w:p w:rsidR="006B12F5" w:rsidRPr="00DF3598" w:rsidRDefault="007C1F45" w:rsidP="004834E6">
            <w:pPr>
              <w:spacing w:after="0" w:line="240" w:lineRule="auto"/>
              <w:jc w:val="both"/>
              <w:rPr>
                <w:rFonts w:ascii="Calibri" w:eastAsia="Times New Roman" w:hAnsi="Calibri" w:cs="Calibri"/>
                <w:color w:val="000000"/>
                <w:sz w:val="24"/>
                <w:szCs w:val="24"/>
              </w:rPr>
            </w:pPr>
            <w:r w:rsidRPr="00DF3598">
              <w:rPr>
                <w:rFonts w:ascii="Calibri" w:eastAsia="Times New Roman" w:hAnsi="Calibri" w:cs="Calibri"/>
                <w:color w:val="000000"/>
                <w:sz w:val="24"/>
                <w:szCs w:val="24"/>
              </w:rPr>
              <w:t>1965</w:t>
            </w:r>
          </w:p>
        </w:tc>
      </w:tr>
      <w:tr w:rsidR="006B12F5" w:rsidRPr="00DF3598" w:rsidTr="00BF6244">
        <w:trPr>
          <w:trHeight w:val="315"/>
        </w:trPr>
        <w:tc>
          <w:tcPr>
            <w:tcW w:w="960" w:type="dxa"/>
            <w:shd w:val="clear" w:color="auto" w:fill="auto"/>
            <w:noWrap/>
            <w:vAlign w:val="bottom"/>
          </w:tcPr>
          <w:p w:rsidR="006B12F5" w:rsidRPr="00DF3598" w:rsidRDefault="006B12F5" w:rsidP="004834E6">
            <w:pPr>
              <w:spacing w:after="0" w:line="240" w:lineRule="auto"/>
              <w:jc w:val="both"/>
              <w:rPr>
                <w:rFonts w:ascii="Calibri" w:eastAsia="Times New Roman" w:hAnsi="Calibri" w:cs="Calibri"/>
                <w:color w:val="000000"/>
                <w:sz w:val="24"/>
                <w:szCs w:val="24"/>
              </w:rPr>
            </w:pPr>
            <w:r w:rsidRPr="00DF3598">
              <w:rPr>
                <w:rFonts w:ascii="Calibri" w:eastAsia="Times New Roman" w:hAnsi="Calibri" w:cs="Calibri"/>
                <w:color w:val="000000"/>
                <w:sz w:val="24"/>
                <w:szCs w:val="24"/>
              </w:rPr>
              <w:t>4</w:t>
            </w:r>
          </w:p>
        </w:tc>
        <w:tc>
          <w:tcPr>
            <w:tcW w:w="5985" w:type="dxa"/>
            <w:shd w:val="clear" w:color="000000" w:fill="auto"/>
            <w:vAlign w:val="center"/>
          </w:tcPr>
          <w:p w:rsidR="006B12F5" w:rsidRPr="00DF3598" w:rsidRDefault="007C1F45" w:rsidP="00DF3598">
            <w:pPr>
              <w:spacing w:after="0" w:line="240" w:lineRule="auto"/>
              <w:ind w:firstLineChars="100" w:firstLine="240"/>
              <w:jc w:val="both"/>
              <w:rPr>
                <w:rFonts w:ascii="Calibri" w:eastAsia="Times New Roman" w:hAnsi="Calibri" w:cs="Calibri"/>
                <w:color w:val="000000"/>
                <w:sz w:val="24"/>
                <w:szCs w:val="24"/>
              </w:rPr>
            </w:pPr>
            <w:r w:rsidRPr="00DF3598">
              <w:rPr>
                <w:rFonts w:ascii="Calibri" w:eastAsia="Times New Roman" w:hAnsi="Calibri" w:cs="Calibri"/>
                <w:color w:val="000000"/>
                <w:sz w:val="24"/>
                <w:szCs w:val="24"/>
              </w:rPr>
              <w:t>Housekeeping NC II</w:t>
            </w:r>
          </w:p>
        </w:tc>
        <w:tc>
          <w:tcPr>
            <w:tcW w:w="960" w:type="dxa"/>
            <w:shd w:val="clear" w:color="auto" w:fill="auto"/>
            <w:noWrap/>
            <w:vAlign w:val="bottom"/>
          </w:tcPr>
          <w:p w:rsidR="006B12F5" w:rsidRPr="00DF3598" w:rsidRDefault="007C1F45" w:rsidP="004834E6">
            <w:pPr>
              <w:spacing w:after="0" w:line="240" w:lineRule="auto"/>
              <w:jc w:val="both"/>
              <w:rPr>
                <w:rFonts w:ascii="Calibri" w:eastAsia="Times New Roman" w:hAnsi="Calibri" w:cs="Calibri"/>
                <w:color w:val="000000"/>
                <w:sz w:val="24"/>
                <w:szCs w:val="24"/>
              </w:rPr>
            </w:pPr>
            <w:r w:rsidRPr="00DF3598">
              <w:rPr>
                <w:rFonts w:ascii="Calibri" w:eastAsia="Times New Roman" w:hAnsi="Calibri" w:cs="Calibri"/>
                <w:color w:val="000000"/>
                <w:sz w:val="24"/>
                <w:szCs w:val="24"/>
              </w:rPr>
              <w:t>1629</w:t>
            </w:r>
          </w:p>
        </w:tc>
      </w:tr>
      <w:tr w:rsidR="006B12F5" w:rsidRPr="00DF3598" w:rsidTr="006B12F5">
        <w:trPr>
          <w:trHeight w:val="315"/>
        </w:trPr>
        <w:tc>
          <w:tcPr>
            <w:tcW w:w="960" w:type="dxa"/>
            <w:shd w:val="clear" w:color="auto" w:fill="auto"/>
            <w:noWrap/>
            <w:vAlign w:val="bottom"/>
            <w:hideMark/>
          </w:tcPr>
          <w:p w:rsidR="006B12F5" w:rsidRPr="00DF3598" w:rsidRDefault="006B12F5" w:rsidP="004834E6">
            <w:pPr>
              <w:spacing w:after="0" w:line="240" w:lineRule="auto"/>
              <w:jc w:val="both"/>
              <w:rPr>
                <w:rFonts w:ascii="Calibri" w:eastAsia="Times New Roman" w:hAnsi="Calibri" w:cs="Calibri"/>
                <w:color w:val="000000"/>
                <w:sz w:val="24"/>
                <w:szCs w:val="24"/>
              </w:rPr>
            </w:pPr>
            <w:r w:rsidRPr="00DF3598">
              <w:rPr>
                <w:rFonts w:ascii="Calibri" w:eastAsia="Times New Roman" w:hAnsi="Calibri" w:cs="Calibri"/>
                <w:color w:val="000000"/>
                <w:sz w:val="24"/>
                <w:szCs w:val="24"/>
              </w:rPr>
              <w:t>5</w:t>
            </w:r>
          </w:p>
        </w:tc>
        <w:tc>
          <w:tcPr>
            <w:tcW w:w="5985" w:type="dxa"/>
            <w:shd w:val="clear" w:color="000000" w:fill="auto"/>
            <w:vAlign w:val="center"/>
          </w:tcPr>
          <w:p w:rsidR="006B12F5" w:rsidRPr="00DF3598" w:rsidRDefault="007C1F45" w:rsidP="00DF3598">
            <w:pPr>
              <w:spacing w:after="0" w:line="240" w:lineRule="auto"/>
              <w:ind w:firstLineChars="100" w:firstLine="240"/>
              <w:jc w:val="both"/>
              <w:rPr>
                <w:rFonts w:ascii="Calibri" w:eastAsia="Times New Roman" w:hAnsi="Calibri" w:cs="Calibri"/>
                <w:color w:val="000000"/>
                <w:sz w:val="24"/>
                <w:szCs w:val="24"/>
              </w:rPr>
            </w:pPr>
            <w:r w:rsidRPr="00DF3598">
              <w:rPr>
                <w:rFonts w:ascii="Calibri" w:eastAsia="Times New Roman" w:hAnsi="Calibri" w:cs="Calibri"/>
                <w:color w:val="000000"/>
                <w:sz w:val="24"/>
                <w:szCs w:val="24"/>
              </w:rPr>
              <w:t>Food Processing NC II</w:t>
            </w:r>
          </w:p>
        </w:tc>
        <w:tc>
          <w:tcPr>
            <w:tcW w:w="960" w:type="dxa"/>
            <w:shd w:val="clear" w:color="auto" w:fill="auto"/>
            <w:noWrap/>
            <w:vAlign w:val="bottom"/>
          </w:tcPr>
          <w:p w:rsidR="006B12F5" w:rsidRPr="00DF3598" w:rsidRDefault="007C1F45" w:rsidP="004834E6">
            <w:pPr>
              <w:spacing w:after="0" w:line="240" w:lineRule="auto"/>
              <w:jc w:val="both"/>
              <w:rPr>
                <w:rFonts w:ascii="Calibri" w:eastAsia="Times New Roman" w:hAnsi="Calibri" w:cs="Calibri"/>
                <w:color w:val="000000"/>
                <w:sz w:val="24"/>
                <w:szCs w:val="24"/>
              </w:rPr>
            </w:pPr>
            <w:r w:rsidRPr="00DF3598">
              <w:rPr>
                <w:rFonts w:ascii="Calibri" w:eastAsia="Times New Roman" w:hAnsi="Calibri" w:cs="Calibri"/>
                <w:color w:val="000000"/>
                <w:sz w:val="24"/>
                <w:szCs w:val="24"/>
              </w:rPr>
              <w:t>1599</w:t>
            </w:r>
          </w:p>
        </w:tc>
      </w:tr>
      <w:tr w:rsidR="006B12F5" w:rsidRPr="00DF3598" w:rsidTr="006B12F5">
        <w:trPr>
          <w:trHeight w:val="315"/>
        </w:trPr>
        <w:tc>
          <w:tcPr>
            <w:tcW w:w="960" w:type="dxa"/>
            <w:shd w:val="clear" w:color="auto" w:fill="auto"/>
            <w:noWrap/>
            <w:vAlign w:val="bottom"/>
            <w:hideMark/>
          </w:tcPr>
          <w:p w:rsidR="006B12F5" w:rsidRPr="00DF3598" w:rsidRDefault="006B12F5" w:rsidP="004834E6">
            <w:pPr>
              <w:spacing w:after="0" w:line="240" w:lineRule="auto"/>
              <w:jc w:val="both"/>
              <w:rPr>
                <w:rFonts w:ascii="Calibri" w:eastAsia="Times New Roman" w:hAnsi="Calibri" w:cs="Calibri"/>
                <w:color w:val="000000"/>
                <w:sz w:val="24"/>
                <w:szCs w:val="24"/>
              </w:rPr>
            </w:pPr>
            <w:r w:rsidRPr="00DF3598">
              <w:rPr>
                <w:rFonts w:ascii="Calibri" w:eastAsia="Times New Roman" w:hAnsi="Calibri" w:cs="Calibri"/>
                <w:color w:val="000000"/>
                <w:sz w:val="24"/>
                <w:szCs w:val="24"/>
              </w:rPr>
              <w:t>6</w:t>
            </w:r>
          </w:p>
        </w:tc>
        <w:tc>
          <w:tcPr>
            <w:tcW w:w="5985" w:type="dxa"/>
            <w:shd w:val="clear" w:color="000000" w:fill="auto"/>
            <w:vAlign w:val="center"/>
          </w:tcPr>
          <w:p w:rsidR="006B12F5" w:rsidRPr="00DF3598" w:rsidRDefault="007C1F45" w:rsidP="00DF3598">
            <w:pPr>
              <w:spacing w:after="0" w:line="240" w:lineRule="auto"/>
              <w:ind w:firstLineChars="100" w:firstLine="240"/>
              <w:jc w:val="both"/>
              <w:rPr>
                <w:rFonts w:ascii="Calibri" w:eastAsia="Times New Roman" w:hAnsi="Calibri" w:cs="Calibri"/>
                <w:color w:val="000000"/>
                <w:sz w:val="24"/>
                <w:szCs w:val="24"/>
              </w:rPr>
            </w:pPr>
            <w:r w:rsidRPr="00DF3598">
              <w:rPr>
                <w:rFonts w:ascii="Calibri" w:eastAsia="Times New Roman" w:hAnsi="Calibri" w:cs="Calibri"/>
                <w:color w:val="000000"/>
                <w:sz w:val="24"/>
                <w:szCs w:val="24"/>
              </w:rPr>
              <w:t>Food and Beverage Services NC II</w:t>
            </w:r>
          </w:p>
        </w:tc>
        <w:tc>
          <w:tcPr>
            <w:tcW w:w="960" w:type="dxa"/>
            <w:shd w:val="clear" w:color="auto" w:fill="auto"/>
            <w:noWrap/>
            <w:vAlign w:val="bottom"/>
          </w:tcPr>
          <w:p w:rsidR="006B12F5" w:rsidRPr="00DF3598" w:rsidRDefault="007C1F45" w:rsidP="004834E6">
            <w:pPr>
              <w:spacing w:after="0" w:line="240" w:lineRule="auto"/>
              <w:jc w:val="both"/>
              <w:rPr>
                <w:rFonts w:ascii="Calibri" w:eastAsia="Times New Roman" w:hAnsi="Calibri" w:cs="Calibri"/>
                <w:color w:val="000000"/>
                <w:sz w:val="24"/>
                <w:szCs w:val="24"/>
              </w:rPr>
            </w:pPr>
            <w:r w:rsidRPr="00DF3598">
              <w:rPr>
                <w:rFonts w:ascii="Calibri" w:eastAsia="Times New Roman" w:hAnsi="Calibri" w:cs="Calibri"/>
                <w:color w:val="000000"/>
                <w:sz w:val="24"/>
                <w:szCs w:val="24"/>
              </w:rPr>
              <w:t>1377</w:t>
            </w:r>
          </w:p>
        </w:tc>
      </w:tr>
      <w:tr w:rsidR="006B12F5" w:rsidRPr="00DF3598" w:rsidTr="006B12F5">
        <w:trPr>
          <w:trHeight w:val="315"/>
        </w:trPr>
        <w:tc>
          <w:tcPr>
            <w:tcW w:w="960" w:type="dxa"/>
            <w:shd w:val="clear" w:color="auto" w:fill="auto"/>
            <w:noWrap/>
            <w:vAlign w:val="bottom"/>
            <w:hideMark/>
          </w:tcPr>
          <w:p w:rsidR="006B12F5" w:rsidRPr="00DF3598" w:rsidRDefault="006B12F5" w:rsidP="004834E6">
            <w:pPr>
              <w:spacing w:after="0" w:line="240" w:lineRule="auto"/>
              <w:jc w:val="both"/>
              <w:rPr>
                <w:rFonts w:ascii="Calibri" w:eastAsia="Times New Roman" w:hAnsi="Calibri" w:cs="Calibri"/>
                <w:color w:val="000000"/>
                <w:sz w:val="24"/>
                <w:szCs w:val="24"/>
              </w:rPr>
            </w:pPr>
            <w:r w:rsidRPr="00DF3598">
              <w:rPr>
                <w:rFonts w:ascii="Calibri" w:eastAsia="Times New Roman" w:hAnsi="Calibri" w:cs="Calibri"/>
                <w:color w:val="000000"/>
                <w:sz w:val="24"/>
                <w:szCs w:val="24"/>
              </w:rPr>
              <w:t>7</w:t>
            </w:r>
          </w:p>
        </w:tc>
        <w:tc>
          <w:tcPr>
            <w:tcW w:w="5985" w:type="dxa"/>
            <w:shd w:val="clear" w:color="000000" w:fill="auto"/>
            <w:vAlign w:val="center"/>
          </w:tcPr>
          <w:p w:rsidR="006B12F5" w:rsidRPr="00DF3598" w:rsidRDefault="007C1F45" w:rsidP="00DF3598">
            <w:pPr>
              <w:spacing w:after="0" w:line="240" w:lineRule="auto"/>
              <w:ind w:firstLineChars="100" w:firstLine="240"/>
              <w:jc w:val="both"/>
              <w:rPr>
                <w:rFonts w:ascii="Calibri" w:eastAsia="Times New Roman" w:hAnsi="Calibri" w:cs="Calibri"/>
                <w:color w:val="000000"/>
                <w:sz w:val="24"/>
                <w:szCs w:val="24"/>
              </w:rPr>
            </w:pPr>
            <w:r w:rsidRPr="00DF3598">
              <w:rPr>
                <w:rFonts w:ascii="Calibri" w:eastAsia="Times New Roman" w:hAnsi="Calibri" w:cs="Calibri"/>
                <w:color w:val="000000"/>
                <w:sz w:val="24"/>
                <w:szCs w:val="24"/>
              </w:rPr>
              <w:t>Bread and Pastry Production NC II</w:t>
            </w:r>
          </w:p>
        </w:tc>
        <w:tc>
          <w:tcPr>
            <w:tcW w:w="960" w:type="dxa"/>
            <w:shd w:val="clear" w:color="auto" w:fill="auto"/>
            <w:noWrap/>
            <w:vAlign w:val="bottom"/>
          </w:tcPr>
          <w:p w:rsidR="006B12F5" w:rsidRPr="00DF3598" w:rsidRDefault="007C1F45" w:rsidP="004834E6">
            <w:pPr>
              <w:spacing w:after="0" w:line="240" w:lineRule="auto"/>
              <w:jc w:val="both"/>
              <w:rPr>
                <w:rFonts w:ascii="Calibri" w:eastAsia="Times New Roman" w:hAnsi="Calibri" w:cs="Calibri"/>
                <w:color w:val="000000"/>
                <w:sz w:val="24"/>
                <w:szCs w:val="24"/>
              </w:rPr>
            </w:pPr>
            <w:r w:rsidRPr="00DF3598">
              <w:rPr>
                <w:rFonts w:ascii="Calibri" w:eastAsia="Times New Roman" w:hAnsi="Calibri" w:cs="Calibri"/>
                <w:color w:val="000000"/>
                <w:sz w:val="24"/>
                <w:szCs w:val="24"/>
              </w:rPr>
              <w:t>1423</w:t>
            </w:r>
          </w:p>
        </w:tc>
      </w:tr>
      <w:tr w:rsidR="006B12F5" w:rsidRPr="00DF3598" w:rsidTr="006B12F5">
        <w:trPr>
          <w:trHeight w:val="315"/>
        </w:trPr>
        <w:tc>
          <w:tcPr>
            <w:tcW w:w="960" w:type="dxa"/>
            <w:shd w:val="clear" w:color="auto" w:fill="auto"/>
            <w:noWrap/>
            <w:vAlign w:val="bottom"/>
            <w:hideMark/>
          </w:tcPr>
          <w:p w:rsidR="006B12F5" w:rsidRPr="00DF3598" w:rsidRDefault="006B12F5" w:rsidP="004834E6">
            <w:pPr>
              <w:spacing w:after="0" w:line="240" w:lineRule="auto"/>
              <w:jc w:val="both"/>
              <w:rPr>
                <w:rFonts w:ascii="Calibri" w:eastAsia="Times New Roman" w:hAnsi="Calibri" w:cs="Calibri"/>
                <w:color w:val="000000"/>
                <w:sz w:val="24"/>
                <w:szCs w:val="24"/>
              </w:rPr>
            </w:pPr>
            <w:r w:rsidRPr="00DF3598">
              <w:rPr>
                <w:rFonts w:ascii="Calibri" w:eastAsia="Times New Roman" w:hAnsi="Calibri" w:cs="Calibri"/>
                <w:color w:val="000000"/>
                <w:sz w:val="24"/>
                <w:szCs w:val="24"/>
              </w:rPr>
              <w:t>8</w:t>
            </w:r>
          </w:p>
        </w:tc>
        <w:tc>
          <w:tcPr>
            <w:tcW w:w="5985" w:type="dxa"/>
            <w:shd w:val="clear" w:color="000000" w:fill="auto"/>
            <w:vAlign w:val="center"/>
          </w:tcPr>
          <w:p w:rsidR="006B12F5" w:rsidRPr="00DF3598" w:rsidRDefault="007C1F45" w:rsidP="00DF3598">
            <w:pPr>
              <w:spacing w:after="0" w:line="240" w:lineRule="auto"/>
              <w:ind w:firstLineChars="100" w:firstLine="240"/>
              <w:jc w:val="both"/>
              <w:rPr>
                <w:rFonts w:ascii="Calibri" w:eastAsia="Times New Roman" w:hAnsi="Calibri" w:cs="Calibri"/>
                <w:color w:val="000000"/>
                <w:sz w:val="24"/>
                <w:szCs w:val="24"/>
              </w:rPr>
            </w:pPr>
            <w:r w:rsidRPr="00DF3598">
              <w:rPr>
                <w:rFonts w:ascii="Calibri" w:eastAsia="Times New Roman" w:hAnsi="Calibri" w:cs="Calibri"/>
                <w:color w:val="000000"/>
                <w:sz w:val="24"/>
                <w:szCs w:val="24"/>
              </w:rPr>
              <w:t>Tourism Promotion Services NC II</w:t>
            </w:r>
          </w:p>
        </w:tc>
        <w:tc>
          <w:tcPr>
            <w:tcW w:w="960" w:type="dxa"/>
            <w:shd w:val="clear" w:color="auto" w:fill="auto"/>
            <w:noWrap/>
            <w:vAlign w:val="bottom"/>
          </w:tcPr>
          <w:p w:rsidR="006B12F5" w:rsidRPr="00DF3598" w:rsidRDefault="007C1F45" w:rsidP="004834E6">
            <w:pPr>
              <w:spacing w:after="0" w:line="240" w:lineRule="auto"/>
              <w:jc w:val="both"/>
              <w:rPr>
                <w:rFonts w:ascii="Calibri" w:eastAsia="Times New Roman" w:hAnsi="Calibri" w:cs="Calibri"/>
                <w:color w:val="000000"/>
                <w:sz w:val="24"/>
                <w:szCs w:val="24"/>
              </w:rPr>
            </w:pPr>
            <w:r w:rsidRPr="00DF3598">
              <w:rPr>
                <w:rFonts w:ascii="Calibri" w:eastAsia="Times New Roman" w:hAnsi="Calibri" w:cs="Calibri"/>
                <w:color w:val="000000"/>
                <w:sz w:val="24"/>
                <w:szCs w:val="24"/>
              </w:rPr>
              <w:t>1009</w:t>
            </w:r>
          </w:p>
        </w:tc>
      </w:tr>
      <w:tr w:rsidR="006B12F5" w:rsidRPr="00DF3598" w:rsidTr="006B12F5">
        <w:trPr>
          <w:trHeight w:val="315"/>
        </w:trPr>
        <w:tc>
          <w:tcPr>
            <w:tcW w:w="960" w:type="dxa"/>
            <w:shd w:val="clear" w:color="auto" w:fill="auto"/>
            <w:noWrap/>
            <w:vAlign w:val="bottom"/>
            <w:hideMark/>
          </w:tcPr>
          <w:p w:rsidR="006B12F5" w:rsidRPr="00DF3598" w:rsidRDefault="006B12F5" w:rsidP="004834E6">
            <w:pPr>
              <w:spacing w:after="0" w:line="240" w:lineRule="auto"/>
              <w:jc w:val="both"/>
              <w:rPr>
                <w:rFonts w:ascii="Calibri" w:eastAsia="Times New Roman" w:hAnsi="Calibri" w:cs="Calibri"/>
                <w:color w:val="000000"/>
                <w:sz w:val="24"/>
                <w:szCs w:val="24"/>
              </w:rPr>
            </w:pPr>
            <w:r w:rsidRPr="00DF3598">
              <w:rPr>
                <w:rFonts w:ascii="Calibri" w:eastAsia="Times New Roman" w:hAnsi="Calibri" w:cs="Calibri"/>
                <w:color w:val="000000"/>
                <w:sz w:val="24"/>
                <w:szCs w:val="24"/>
              </w:rPr>
              <w:t>9</w:t>
            </w:r>
          </w:p>
        </w:tc>
        <w:tc>
          <w:tcPr>
            <w:tcW w:w="5985" w:type="dxa"/>
            <w:shd w:val="clear" w:color="000000" w:fill="auto"/>
            <w:vAlign w:val="center"/>
          </w:tcPr>
          <w:p w:rsidR="006B12F5" w:rsidRPr="00DF3598" w:rsidRDefault="007C1F45" w:rsidP="00DF3598">
            <w:pPr>
              <w:spacing w:after="0" w:line="240" w:lineRule="auto"/>
              <w:ind w:firstLineChars="100" w:firstLine="240"/>
              <w:jc w:val="both"/>
              <w:rPr>
                <w:rFonts w:ascii="Calibri" w:eastAsia="Times New Roman" w:hAnsi="Calibri" w:cs="Calibri"/>
                <w:color w:val="000000"/>
                <w:sz w:val="24"/>
                <w:szCs w:val="24"/>
              </w:rPr>
            </w:pPr>
            <w:r w:rsidRPr="00DF3598">
              <w:rPr>
                <w:rFonts w:ascii="Calibri" w:eastAsia="Times New Roman" w:hAnsi="Calibri" w:cs="Calibri"/>
                <w:color w:val="000000"/>
                <w:sz w:val="24"/>
                <w:szCs w:val="24"/>
              </w:rPr>
              <w:t>Events Management Services NC III</w:t>
            </w:r>
          </w:p>
        </w:tc>
        <w:tc>
          <w:tcPr>
            <w:tcW w:w="960" w:type="dxa"/>
            <w:shd w:val="clear" w:color="auto" w:fill="auto"/>
            <w:noWrap/>
            <w:vAlign w:val="bottom"/>
          </w:tcPr>
          <w:p w:rsidR="006B12F5" w:rsidRPr="00DF3598" w:rsidRDefault="007C1F45" w:rsidP="004834E6">
            <w:pPr>
              <w:spacing w:after="0" w:line="240" w:lineRule="auto"/>
              <w:jc w:val="both"/>
              <w:rPr>
                <w:rFonts w:ascii="Calibri" w:eastAsia="Times New Roman" w:hAnsi="Calibri" w:cs="Calibri"/>
                <w:color w:val="000000"/>
                <w:sz w:val="24"/>
                <w:szCs w:val="24"/>
              </w:rPr>
            </w:pPr>
            <w:r w:rsidRPr="00DF3598">
              <w:rPr>
                <w:rFonts w:ascii="Calibri" w:eastAsia="Times New Roman" w:hAnsi="Calibri" w:cs="Calibri"/>
                <w:color w:val="000000"/>
                <w:sz w:val="24"/>
                <w:szCs w:val="24"/>
              </w:rPr>
              <w:t>898</w:t>
            </w:r>
          </w:p>
        </w:tc>
      </w:tr>
      <w:tr w:rsidR="006B12F5" w:rsidRPr="00DF3598" w:rsidTr="006B12F5">
        <w:trPr>
          <w:trHeight w:val="315"/>
        </w:trPr>
        <w:tc>
          <w:tcPr>
            <w:tcW w:w="960" w:type="dxa"/>
            <w:shd w:val="clear" w:color="auto" w:fill="auto"/>
            <w:noWrap/>
            <w:vAlign w:val="bottom"/>
            <w:hideMark/>
          </w:tcPr>
          <w:p w:rsidR="006B12F5" w:rsidRPr="00DF3598" w:rsidRDefault="006B12F5" w:rsidP="004834E6">
            <w:pPr>
              <w:spacing w:after="0" w:line="240" w:lineRule="auto"/>
              <w:jc w:val="both"/>
              <w:rPr>
                <w:rFonts w:ascii="Calibri" w:eastAsia="Times New Roman" w:hAnsi="Calibri" w:cs="Calibri"/>
                <w:color w:val="000000"/>
                <w:sz w:val="24"/>
                <w:szCs w:val="24"/>
              </w:rPr>
            </w:pPr>
            <w:r w:rsidRPr="00DF3598">
              <w:rPr>
                <w:rFonts w:ascii="Calibri" w:eastAsia="Times New Roman" w:hAnsi="Calibri" w:cs="Calibri"/>
                <w:color w:val="000000"/>
                <w:sz w:val="24"/>
                <w:szCs w:val="24"/>
              </w:rPr>
              <w:t>10</w:t>
            </w:r>
          </w:p>
        </w:tc>
        <w:tc>
          <w:tcPr>
            <w:tcW w:w="5985" w:type="dxa"/>
            <w:shd w:val="clear" w:color="000000" w:fill="auto"/>
            <w:vAlign w:val="center"/>
          </w:tcPr>
          <w:p w:rsidR="006B12F5" w:rsidRPr="00DF3598" w:rsidRDefault="007C1F45" w:rsidP="00DF3598">
            <w:pPr>
              <w:spacing w:after="0" w:line="240" w:lineRule="auto"/>
              <w:ind w:firstLineChars="100" w:firstLine="240"/>
              <w:jc w:val="both"/>
              <w:rPr>
                <w:rFonts w:ascii="Calibri" w:eastAsia="Times New Roman" w:hAnsi="Calibri" w:cs="Calibri"/>
                <w:color w:val="000000"/>
                <w:sz w:val="24"/>
                <w:szCs w:val="24"/>
              </w:rPr>
            </w:pPr>
            <w:r w:rsidRPr="00DF3598">
              <w:rPr>
                <w:rFonts w:ascii="Calibri" w:eastAsia="Times New Roman" w:hAnsi="Calibri" w:cs="Calibri"/>
                <w:color w:val="000000"/>
                <w:sz w:val="24"/>
                <w:szCs w:val="24"/>
              </w:rPr>
              <w:t>Masonry NC II</w:t>
            </w:r>
          </w:p>
        </w:tc>
        <w:tc>
          <w:tcPr>
            <w:tcW w:w="960" w:type="dxa"/>
            <w:shd w:val="clear" w:color="auto" w:fill="auto"/>
            <w:noWrap/>
            <w:vAlign w:val="bottom"/>
          </w:tcPr>
          <w:p w:rsidR="006B12F5" w:rsidRPr="00DF3598" w:rsidRDefault="007C1F45" w:rsidP="004834E6">
            <w:pPr>
              <w:spacing w:after="0" w:line="240" w:lineRule="auto"/>
              <w:jc w:val="both"/>
              <w:rPr>
                <w:rFonts w:ascii="Calibri" w:eastAsia="Times New Roman" w:hAnsi="Calibri" w:cs="Calibri"/>
                <w:color w:val="000000"/>
                <w:sz w:val="24"/>
                <w:szCs w:val="24"/>
              </w:rPr>
            </w:pPr>
            <w:r w:rsidRPr="00DF3598">
              <w:rPr>
                <w:rFonts w:ascii="Calibri" w:eastAsia="Times New Roman" w:hAnsi="Calibri" w:cs="Calibri"/>
                <w:color w:val="000000"/>
                <w:sz w:val="24"/>
                <w:szCs w:val="24"/>
              </w:rPr>
              <w:t>866</w:t>
            </w:r>
          </w:p>
        </w:tc>
      </w:tr>
    </w:tbl>
    <w:p w:rsidR="00174E3E" w:rsidRDefault="00174E3E" w:rsidP="004834E6">
      <w:pPr>
        <w:spacing w:after="0" w:line="240" w:lineRule="auto"/>
        <w:ind w:firstLine="720"/>
        <w:jc w:val="both"/>
        <w:rPr>
          <w:sz w:val="24"/>
          <w:szCs w:val="24"/>
        </w:rPr>
      </w:pPr>
    </w:p>
    <w:p w:rsidR="009A1B95" w:rsidRPr="00DF3598" w:rsidRDefault="007C1F45" w:rsidP="004834E6">
      <w:pPr>
        <w:spacing w:after="0" w:line="240" w:lineRule="auto"/>
        <w:ind w:firstLine="720"/>
        <w:jc w:val="both"/>
        <w:rPr>
          <w:sz w:val="24"/>
          <w:szCs w:val="24"/>
        </w:rPr>
      </w:pPr>
      <w:r w:rsidRPr="00DF3598">
        <w:rPr>
          <w:sz w:val="24"/>
          <w:szCs w:val="24"/>
        </w:rPr>
        <w:t>Whereas in</w:t>
      </w:r>
      <w:r w:rsidR="00AF4A7F" w:rsidRPr="00DF3598">
        <w:rPr>
          <w:sz w:val="24"/>
          <w:szCs w:val="24"/>
        </w:rPr>
        <w:t xml:space="preserve"> 201</w:t>
      </w:r>
      <w:r w:rsidR="00EE47C7" w:rsidRPr="00DF3598">
        <w:rPr>
          <w:sz w:val="24"/>
          <w:szCs w:val="24"/>
        </w:rPr>
        <w:t>6</w:t>
      </w:r>
      <w:r w:rsidR="00AF4A7F" w:rsidRPr="00DF3598">
        <w:rPr>
          <w:sz w:val="24"/>
          <w:szCs w:val="24"/>
        </w:rPr>
        <w:t xml:space="preserve">, </w:t>
      </w:r>
      <w:r w:rsidRPr="00DF3598">
        <w:rPr>
          <w:sz w:val="24"/>
          <w:szCs w:val="24"/>
        </w:rPr>
        <w:t xml:space="preserve">the </w:t>
      </w:r>
      <w:r w:rsidR="00AF4A7F" w:rsidRPr="00DF3598">
        <w:rPr>
          <w:sz w:val="24"/>
          <w:szCs w:val="24"/>
        </w:rPr>
        <w:t>top ten</w:t>
      </w:r>
      <w:r w:rsidRPr="00DF3598">
        <w:rPr>
          <w:sz w:val="24"/>
          <w:szCs w:val="24"/>
        </w:rPr>
        <w:t xml:space="preserve"> (10) </w:t>
      </w:r>
      <w:r w:rsidR="004834E6" w:rsidRPr="00DF3598">
        <w:rPr>
          <w:sz w:val="24"/>
          <w:szCs w:val="24"/>
        </w:rPr>
        <w:t>qualifications</w:t>
      </w:r>
      <w:r w:rsidR="00AF4A7F" w:rsidRPr="00DF3598">
        <w:rPr>
          <w:sz w:val="24"/>
          <w:szCs w:val="24"/>
        </w:rPr>
        <w:t xml:space="preserve"> with the highest enrolled were </w:t>
      </w:r>
      <w:r w:rsidR="00AB3AEA" w:rsidRPr="00DF3598">
        <w:rPr>
          <w:sz w:val="24"/>
          <w:szCs w:val="24"/>
        </w:rPr>
        <w:t>Heavy Equipment Operation</w:t>
      </w:r>
      <w:r w:rsidR="003C0091" w:rsidRPr="00DF3598">
        <w:rPr>
          <w:sz w:val="24"/>
          <w:szCs w:val="24"/>
        </w:rPr>
        <w:t xml:space="preserve">-Rigid On-Highway Dump Truck NC II, HEO-Backhoe Loader NC II, HEO-Wheel Loader NC II, HEO-Bulldozer NC II, Food and Beverage Services NC II, Bread and Pastry Production NC II, Computer System Servicing NC II, Driving NC II, SMAW NC II and Electronics Products Assembly and Servicing NC II. (Table </w:t>
      </w:r>
      <w:r w:rsidR="00174E3E">
        <w:rPr>
          <w:sz w:val="24"/>
          <w:szCs w:val="24"/>
        </w:rPr>
        <w:t>3</w:t>
      </w:r>
      <w:r w:rsidR="003C0091" w:rsidRPr="00DF3598">
        <w:rPr>
          <w:sz w:val="24"/>
          <w:szCs w:val="24"/>
        </w:rPr>
        <w:t xml:space="preserve"> – Top Ten Qualifications with Highest Enrollment</w:t>
      </w:r>
      <w:r w:rsidR="004834E6" w:rsidRPr="00DF3598">
        <w:rPr>
          <w:sz w:val="24"/>
          <w:szCs w:val="24"/>
        </w:rPr>
        <w:t>, CY 2016</w:t>
      </w:r>
      <w:r w:rsidR="003C0091" w:rsidRPr="00DF3598">
        <w:rPr>
          <w:sz w:val="24"/>
          <w:szCs w:val="24"/>
        </w:rPr>
        <w:t>)</w:t>
      </w:r>
    </w:p>
    <w:p w:rsidR="00AF4A7F" w:rsidRPr="00DF3598" w:rsidRDefault="00AF4A7F" w:rsidP="004834E6">
      <w:pPr>
        <w:spacing w:after="0" w:line="240" w:lineRule="auto"/>
        <w:jc w:val="both"/>
        <w:rPr>
          <w:sz w:val="24"/>
          <w:szCs w:val="24"/>
        </w:rPr>
      </w:pPr>
    </w:p>
    <w:p w:rsidR="00AB3AEA" w:rsidRPr="00A759C6" w:rsidRDefault="007C1F45" w:rsidP="004834E6">
      <w:pPr>
        <w:spacing w:after="0" w:line="240" w:lineRule="auto"/>
        <w:jc w:val="center"/>
        <w:rPr>
          <w:b/>
          <w:sz w:val="24"/>
          <w:szCs w:val="24"/>
        </w:rPr>
      </w:pPr>
      <w:r w:rsidRPr="00A759C6">
        <w:rPr>
          <w:b/>
          <w:sz w:val="24"/>
          <w:szCs w:val="24"/>
        </w:rPr>
        <w:t xml:space="preserve">Table </w:t>
      </w:r>
      <w:r w:rsidR="00A759C6" w:rsidRPr="00A759C6">
        <w:rPr>
          <w:b/>
          <w:sz w:val="24"/>
          <w:szCs w:val="24"/>
        </w:rPr>
        <w:t>5</w:t>
      </w:r>
      <w:r w:rsidRPr="00A759C6">
        <w:rPr>
          <w:b/>
          <w:sz w:val="24"/>
          <w:szCs w:val="24"/>
        </w:rPr>
        <w:t xml:space="preserve">. </w:t>
      </w:r>
      <w:r w:rsidR="00AB3AEA" w:rsidRPr="00A759C6">
        <w:rPr>
          <w:b/>
          <w:sz w:val="24"/>
          <w:szCs w:val="24"/>
        </w:rPr>
        <w:t>Top Ten Qualifications with Highest Enrollment</w:t>
      </w:r>
    </w:p>
    <w:p w:rsidR="00AB3AEA" w:rsidRPr="00A759C6" w:rsidRDefault="00AB3AEA" w:rsidP="004834E6">
      <w:pPr>
        <w:tabs>
          <w:tab w:val="left" w:pos="1320"/>
        </w:tabs>
        <w:spacing w:after="0" w:line="240" w:lineRule="auto"/>
        <w:jc w:val="center"/>
        <w:rPr>
          <w:b/>
          <w:sz w:val="24"/>
          <w:szCs w:val="24"/>
        </w:rPr>
      </w:pPr>
      <w:r w:rsidRPr="00A759C6">
        <w:rPr>
          <w:b/>
          <w:sz w:val="24"/>
          <w:szCs w:val="24"/>
        </w:rPr>
        <w:t>CY 2016</w:t>
      </w:r>
    </w:p>
    <w:p w:rsidR="00AB3AEA" w:rsidRPr="00DF3598" w:rsidRDefault="00AB3AEA" w:rsidP="004834E6">
      <w:pPr>
        <w:spacing w:after="0" w:line="240" w:lineRule="auto"/>
        <w:jc w:val="both"/>
        <w:rPr>
          <w:sz w:val="24"/>
          <w:szCs w:val="24"/>
        </w:rPr>
      </w:pPr>
    </w:p>
    <w:tbl>
      <w:tblPr>
        <w:tblW w:w="7905"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5919"/>
        <w:gridCol w:w="1026"/>
      </w:tblGrid>
      <w:tr w:rsidR="00AB3AEA" w:rsidRPr="00DF3598" w:rsidTr="006377F9">
        <w:trPr>
          <w:trHeight w:val="315"/>
        </w:trPr>
        <w:tc>
          <w:tcPr>
            <w:tcW w:w="960" w:type="dxa"/>
            <w:shd w:val="clear" w:color="auto" w:fill="auto"/>
            <w:noWrap/>
            <w:vAlign w:val="bottom"/>
          </w:tcPr>
          <w:p w:rsidR="00AB3AEA" w:rsidRPr="00DF3598" w:rsidRDefault="00AB3AEA" w:rsidP="004834E6">
            <w:pPr>
              <w:spacing w:after="0" w:line="240" w:lineRule="auto"/>
              <w:jc w:val="both"/>
              <w:rPr>
                <w:rFonts w:ascii="Calibri" w:eastAsia="Times New Roman" w:hAnsi="Calibri" w:cs="Calibri"/>
                <w:color w:val="000000"/>
                <w:sz w:val="24"/>
                <w:szCs w:val="24"/>
              </w:rPr>
            </w:pPr>
            <w:r w:rsidRPr="00DF3598">
              <w:rPr>
                <w:rFonts w:ascii="Calibri" w:eastAsia="Times New Roman" w:hAnsi="Calibri" w:cs="Calibri"/>
                <w:color w:val="000000"/>
                <w:sz w:val="24"/>
                <w:szCs w:val="24"/>
              </w:rPr>
              <w:t>Rank</w:t>
            </w:r>
          </w:p>
        </w:tc>
        <w:tc>
          <w:tcPr>
            <w:tcW w:w="5985" w:type="dxa"/>
            <w:shd w:val="clear" w:color="000000" w:fill="auto"/>
            <w:vAlign w:val="center"/>
          </w:tcPr>
          <w:p w:rsidR="00AB3AEA" w:rsidRPr="00DF3598" w:rsidRDefault="00AB3AEA" w:rsidP="00DF3598">
            <w:pPr>
              <w:spacing w:after="0" w:line="240" w:lineRule="auto"/>
              <w:ind w:firstLineChars="100" w:firstLine="240"/>
              <w:jc w:val="both"/>
              <w:rPr>
                <w:rFonts w:ascii="Calibri" w:eastAsia="Times New Roman" w:hAnsi="Calibri" w:cs="Calibri"/>
                <w:color w:val="000000"/>
                <w:sz w:val="24"/>
                <w:szCs w:val="24"/>
              </w:rPr>
            </w:pPr>
            <w:r w:rsidRPr="00DF3598">
              <w:rPr>
                <w:rFonts w:ascii="Calibri" w:eastAsia="Times New Roman" w:hAnsi="Calibri" w:cs="Calibri"/>
                <w:color w:val="000000"/>
                <w:sz w:val="24"/>
                <w:szCs w:val="24"/>
              </w:rPr>
              <w:t>Qualification</w:t>
            </w:r>
          </w:p>
        </w:tc>
        <w:tc>
          <w:tcPr>
            <w:tcW w:w="960" w:type="dxa"/>
            <w:shd w:val="clear" w:color="auto" w:fill="auto"/>
            <w:noWrap/>
            <w:vAlign w:val="bottom"/>
          </w:tcPr>
          <w:p w:rsidR="00AB3AEA" w:rsidRPr="00DF3598" w:rsidRDefault="00AB3AEA" w:rsidP="004834E6">
            <w:pPr>
              <w:spacing w:after="0" w:line="240" w:lineRule="auto"/>
              <w:jc w:val="both"/>
              <w:rPr>
                <w:rFonts w:ascii="Calibri" w:eastAsia="Times New Roman" w:hAnsi="Calibri" w:cs="Calibri"/>
                <w:color w:val="000000"/>
                <w:sz w:val="24"/>
                <w:szCs w:val="24"/>
              </w:rPr>
            </w:pPr>
            <w:r w:rsidRPr="00DF3598">
              <w:rPr>
                <w:rFonts w:ascii="Calibri" w:eastAsia="Times New Roman" w:hAnsi="Calibri" w:cs="Calibri"/>
                <w:color w:val="000000"/>
                <w:sz w:val="24"/>
                <w:szCs w:val="24"/>
              </w:rPr>
              <w:t>Enrolled</w:t>
            </w:r>
          </w:p>
        </w:tc>
      </w:tr>
      <w:tr w:rsidR="00AB3AEA" w:rsidRPr="00DF3598" w:rsidTr="006377F9">
        <w:trPr>
          <w:trHeight w:val="315"/>
        </w:trPr>
        <w:tc>
          <w:tcPr>
            <w:tcW w:w="960" w:type="dxa"/>
            <w:shd w:val="clear" w:color="auto" w:fill="auto"/>
            <w:noWrap/>
            <w:vAlign w:val="bottom"/>
            <w:hideMark/>
          </w:tcPr>
          <w:p w:rsidR="00AB3AEA" w:rsidRPr="00DF3598" w:rsidRDefault="00AB3AEA" w:rsidP="004834E6">
            <w:pPr>
              <w:spacing w:after="0" w:line="240" w:lineRule="auto"/>
              <w:jc w:val="both"/>
              <w:rPr>
                <w:rFonts w:ascii="Calibri" w:eastAsia="Times New Roman" w:hAnsi="Calibri" w:cs="Calibri"/>
                <w:color w:val="000000"/>
                <w:sz w:val="24"/>
                <w:szCs w:val="24"/>
              </w:rPr>
            </w:pPr>
            <w:r w:rsidRPr="00DF3598">
              <w:rPr>
                <w:rFonts w:ascii="Calibri" w:eastAsia="Times New Roman" w:hAnsi="Calibri" w:cs="Calibri"/>
                <w:color w:val="000000"/>
                <w:sz w:val="24"/>
                <w:szCs w:val="24"/>
              </w:rPr>
              <w:t>1</w:t>
            </w:r>
          </w:p>
        </w:tc>
        <w:tc>
          <w:tcPr>
            <w:tcW w:w="5985" w:type="dxa"/>
            <w:shd w:val="clear" w:color="000000" w:fill="auto"/>
            <w:vAlign w:val="center"/>
            <w:hideMark/>
          </w:tcPr>
          <w:p w:rsidR="00AB3AEA" w:rsidRPr="00DF3598" w:rsidRDefault="00AB3AEA" w:rsidP="00DF3598">
            <w:pPr>
              <w:spacing w:after="0" w:line="240" w:lineRule="auto"/>
              <w:ind w:firstLineChars="100" w:firstLine="240"/>
              <w:jc w:val="both"/>
              <w:rPr>
                <w:rFonts w:ascii="Calibri" w:eastAsia="Times New Roman" w:hAnsi="Calibri" w:cs="Calibri"/>
                <w:color w:val="000000"/>
                <w:sz w:val="24"/>
                <w:szCs w:val="24"/>
              </w:rPr>
            </w:pPr>
            <w:r w:rsidRPr="00DF3598">
              <w:rPr>
                <w:rFonts w:ascii="Calibri" w:eastAsia="Times New Roman" w:hAnsi="Calibri" w:cs="Calibri"/>
                <w:color w:val="000000"/>
                <w:sz w:val="24"/>
                <w:szCs w:val="24"/>
              </w:rPr>
              <w:t xml:space="preserve">Heavy Equipment Operation </w:t>
            </w:r>
            <w:r w:rsidR="003C0091" w:rsidRPr="00DF3598">
              <w:rPr>
                <w:rFonts w:ascii="Calibri" w:eastAsia="Times New Roman" w:hAnsi="Calibri" w:cs="Calibri"/>
                <w:color w:val="000000"/>
                <w:sz w:val="24"/>
                <w:szCs w:val="24"/>
              </w:rPr>
              <w:t>–Rigid On-Highway Dump Truck</w:t>
            </w:r>
            <w:r w:rsidRPr="00DF3598">
              <w:rPr>
                <w:rFonts w:ascii="Calibri" w:eastAsia="Times New Roman" w:hAnsi="Calibri" w:cs="Calibri"/>
                <w:color w:val="000000"/>
                <w:sz w:val="24"/>
                <w:szCs w:val="24"/>
              </w:rPr>
              <w:t xml:space="preserve">  </w:t>
            </w:r>
            <w:r w:rsidR="003C0091" w:rsidRPr="00DF3598">
              <w:rPr>
                <w:rFonts w:ascii="Calibri" w:eastAsia="Times New Roman" w:hAnsi="Calibri" w:cs="Calibri"/>
                <w:color w:val="000000"/>
                <w:sz w:val="24"/>
                <w:szCs w:val="24"/>
              </w:rPr>
              <w:t>NC II</w:t>
            </w:r>
          </w:p>
        </w:tc>
        <w:tc>
          <w:tcPr>
            <w:tcW w:w="960" w:type="dxa"/>
            <w:shd w:val="clear" w:color="auto" w:fill="auto"/>
            <w:noWrap/>
            <w:vAlign w:val="bottom"/>
            <w:hideMark/>
          </w:tcPr>
          <w:p w:rsidR="00AB3AEA" w:rsidRPr="00DF3598" w:rsidRDefault="003C0091" w:rsidP="004834E6">
            <w:pPr>
              <w:spacing w:after="0" w:line="240" w:lineRule="auto"/>
              <w:jc w:val="both"/>
              <w:rPr>
                <w:rFonts w:ascii="Calibri" w:eastAsia="Times New Roman" w:hAnsi="Calibri" w:cs="Calibri"/>
                <w:color w:val="000000"/>
                <w:sz w:val="24"/>
                <w:szCs w:val="24"/>
              </w:rPr>
            </w:pPr>
            <w:r w:rsidRPr="00DF3598">
              <w:rPr>
                <w:rFonts w:ascii="Calibri" w:eastAsia="Times New Roman" w:hAnsi="Calibri" w:cs="Calibri"/>
                <w:color w:val="000000"/>
                <w:sz w:val="24"/>
                <w:szCs w:val="24"/>
              </w:rPr>
              <w:t>2667</w:t>
            </w:r>
          </w:p>
        </w:tc>
      </w:tr>
      <w:tr w:rsidR="003C0091" w:rsidRPr="00DF3598" w:rsidTr="006377F9">
        <w:trPr>
          <w:trHeight w:val="315"/>
        </w:trPr>
        <w:tc>
          <w:tcPr>
            <w:tcW w:w="960" w:type="dxa"/>
            <w:shd w:val="clear" w:color="auto" w:fill="auto"/>
            <w:noWrap/>
            <w:vAlign w:val="bottom"/>
          </w:tcPr>
          <w:p w:rsidR="003C0091" w:rsidRPr="00DF3598" w:rsidRDefault="003C0091" w:rsidP="004834E6">
            <w:pPr>
              <w:spacing w:after="0" w:line="240" w:lineRule="auto"/>
              <w:jc w:val="both"/>
              <w:rPr>
                <w:rFonts w:ascii="Calibri" w:eastAsia="Times New Roman" w:hAnsi="Calibri" w:cs="Calibri"/>
                <w:color w:val="000000"/>
                <w:sz w:val="24"/>
                <w:szCs w:val="24"/>
              </w:rPr>
            </w:pPr>
            <w:r w:rsidRPr="00DF3598">
              <w:rPr>
                <w:rFonts w:ascii="Calibri" w:eastAsia="Times New Roman" w:hAnsi="Calibri" w:cs="Calibri"/>
                <w:color w:val="000000"/>
                <w:sz w:val="24"/>
                <w:szCs w:val="24"/>
              </w:rPr>
              <w:t>2</w:t>
            </w:r>
          </w:p>
        </w:tc>
        <w:tc>
          <w:tcPr>
            <w:tcW w:w="5985" w:type="dxa"/>
            <w:shd w:val="clear" w:color="000000" w:fill="auto"/>
            <w:vAlign w:val="center"/>
          </w:tcPr>
          <w:p w:rsidR="003C0091" w:rsidRPr="00DF3598" w:rsidRDefault="003C0091" w:rsidP="00DF3598">
            <w:pPr>
              <w:spacing w:after="0" w:line="240" w:lineRule="auto"/>
              <w:ind w:firstLineChars="100" w:firstLine="240"/>
              <w:jc w:val="both"/>
              <w:rPr>
                <w:rFonts w:ascii="Calibri" w:eastAsia="Times New Roman" w:hAnsi="Calibri" w:cs="Calibri"/>
                <w:color w:val="000000"/>
                <w:sz w:val="24"/>
                <w:szCs w:val="24"/>
              </w:rPr>
            </w:pPr>
            <w:r w:rsidRPr="00DF3598">
              <w:rPr>
                <w:rFonts w:ascii="Calibri" w:eastAsia="Times New Roman" w:hAnsi="Calibri" w:cs="Calibri"/>
                <w:color w:val="000000"/>
                <w:sz w:val="24"/>
                <w:szCs w:val="24"/>
              </w:rPr>
              <w:t>Heavy Equipment Operation –Backhoe Loader NC II</w:t>
            </w:r>
          </w:p>
        </w:tc>
        <w:tc>
          <w:tcPr>
            <w:tcW w:w="960" w:type="dxa"/>
            <w:shd w:val="clear" w:color="auto" w:fill="auto"/>
            <w:noWrap/>
            <w:vAlign w:val="bottom"/>
          </w:tcPr>
          <w:p w:rsidR="003C0091" w:rsidRPr="00DF3598" w:rsidRDefault="003C0091" w:rsidP="004834E6">
            <w:pPr>
              <w:spacing w:after="0" w:line="240" w:lineRule="auto"/>
              <w:jc w:val="both"/>
              <w:rPr>
                <w:rFonts w:ascii="Calibri" w:eastAsia="Times New Roman" w:hAnsi="Calibri" w:cs="Calibri"/>
                <w:color w:val="000000"/>
                <w:sz w:val="24"/>
                <w:szCs w:val="24"/>
              </w:rPr>
            </w:pPr>
            <w:r w:rsidRPr="00DF3598">
              <w:rPr>
                <w:rFonts w:ascii="Calibri" w:eastAsia="Times New Roman" w:hAnsi="Calibri" w:cs="Calibri"/>
                <w:color w:val="000000"/>
                <w:sz w:val="24"/>
                <w:szCs w:val="24"/>
              </w:rPr>
              <w:t>2207</w:t>
            </w:r>
          </w:p>
        </w:tc>
      </w:tr>
      <w:tr w:rsidR="003C0091" w:rsidRPr="00DF3598" w:rsidTr="006377F9">
        <w:trPr>
          <w:trHeight w:val="315"/>
        </w:trPr>
        <w:tc>
          <w:tcPr>
            <w:tcW w:w="960" w:type="dxa"/>
            <w:shd w:val="clear" w:color="auto" w:fill="auto"/>
            <w:noWrap/>
            <w:vAlign w:val="bottom"/>
          </w:tcPr>
          <w:p w:rsidR="003C0091" w:rsidRPr="00DF3598" w:rsidRDefault="003C0091" w:rsidP="004834E6">
            <w:pPr>
              <w:spacing w:after="0" w:line="240" w:lineRule="auto"/>
              <w:jc w:val="both"/>
              <w:rPr>
                <w:rFonts w:ascii="Calibri" w:eastAsia="Times New Roman" w:hAnsi="Calibri" w:cs="Calibri"/>
                <w:color w:val="000000"/>
                <w:sz w:val="24"/>
                <w:szCs w:val="24"/>
              </w:rPr>
            </w:pPr>
            <w:r w:rsidRPr="00DF3598">
              <w:rPr>
                <w:rFonts w:ascii="Calibri" w:eastAsia="Times New Roman" w:hAnsi="Calibri" w:cs="Calibri"/>
                <w:color w:val="000000"/>
                <w:sz w:val="24"/>
                <w:szCs w:val="24"/>
              </w:rPr>
              <w:t>3</w:t>
            </w:r>
          </w:p>
        </w:tc>
        <w:tc>
          <w:tcPr>
            <w:tcW w:w="5985" w:type="dxa"/>
            <w:shd w:val="clear" w:color="000000" w:fill="auto"/>
            <w:vAlign w:val="center"/>
          </w:tcPr>
          <w:p w:rsidR="003C0091" w:rsidRPr="00DF3598" w:rsidRDefault="003C0091" w:rsidP="00DF3598">
            <w:pPr>
              <w:spacing w:after="0" w:line="240" w:lineRule="auto"/>
              <w:ind w:firstLineChars="100" w:firstLine="240"/>
              <w:jc w:val="both"/>
              <w:rPr>
                <w:rFonts w:ascii="Calibri" w:eastAsia="Times New Roman" w:hAnsi="Calibri" w:cs="Calibri"/>
                <w:color w:val="000000"/>
                <w:sz w:val="24"/>
                <w:szCs w:val="24"/>
              </w:rPr>
            </w:pPr>
            <w:r w:rsidRPr="00DF3598">
              <w:rPr>
                <w:rFonts w:ascii="Calibri" w:eastAsia="Times New Roman" w:hAnsi="Calibri" w:cs="Calibri"/>
                <w:color w:val="000000"/>
                <w:sz w:val="24"/>
                <w:szCs w:val="24"/>
              </w:rPr>
              <w:t>Heavy Equipment Operation –Wheel Loader NC II</w:t>
            </w:r>
          </w:p>
        </w:tc>
        <w:tc>
          <w:tcPr>
            <w:tcW w:w="960" w:type="dxa"/>
            <w:shd w:val="clear" w:color="auto" w:fill="auto"/>
            <w:noWrap/>
            <w:vAlign w:val="bottom"/>
          </w:tcPr>
          <w:p w:rsidR="003C0091" w:rsidRPr="00DF3598" w:rsidRDefault="003C0091" w:rsidP="004834E6">
            <w:pPr>
              <w:spacing w:after="0" w:line="240" w:lineRule="auto"/>
              <w:jc w:val="both"/>
              <w:rPr>
                <w:rFonts w:ascii="Calibri" w:eastAsia="Times New Roman" w:hAnsi="Calibri" w:cs="Calibri"/>
                <w:color w:val="000000"/>
                <w:sz w:val="24"/>
                <w:szCs w:val="24"/>
              </w:rPr>
            </w:pPr>
            <w:r w:rsidRPr="00DF3598">
              <w:rPr>
                <w:rFonts w:ascii="Calibri" w:eastAsia="Times New Roman" w:hAnsi="Calibri" w:cs="Calibri"/>
                <w:color w:val="000000"/>
                <w:sz w:val="24"/>
                <w:szCs w:val="24"/>
              </w:rPr>
              <w:t>1837</w:t>
            </w:r>
          </w:p>
        </w:tc>
      </w:tr>
      <w:tr w:rsidR="003C0091" w:rsidRPr="00DF3598" w:rsidTr="006377F9">
        <w:trPr>
          <w:trHeight w:val="315"/>
        </w:trPr>
        <w:tc>
          <w:tcPr>
            <w:tcW w:w="960" w:type="dxa"/>
            <w:shd w:val="clear" w:color="auto" w:fill="auto"/>
            <w:noWrap/>
            <w:vAlign w:val="bottom"/>
          </w:tcPr>
          <w:p w:rsidR="003C0091" w:rsidRPr="00DF3598" w:rsidRDefault="003C0091" w:rsidP="004834E6">
            <w:pPr>
              <w:spacing w:after="0" w:line="240" w:lineRule="auto"/>
              <w:jc w:val="both"/>
              <w:rPr>
                <w:rFonts w:ascii="Calibri" w:eastAsia="Times New Roman" w:hAnsi="Calibri" w:cs="Calibri"/>
                <w:color w:val="000000"/>
                <w:sz w:val="24"/>
                <w:szCs w:val="24"/>
              </w:rPr>
            </w:pPr>
            <w:r w:rsidRPr="00DF3598">
              <w:rPr>
                <w:rFonts w:ascii="Calibri" w:eastAsia="Times New Roman" w:hAnsi="Calibri" w:cs="Calibri"/>
                <w:color w:val="000000"/>
                <w:sz w:val="24"/>
                <w:szCs w:val="24"/>
              </w:rPr>
              <w:t>4</w:t>
            </w:r>
          </w:p>
        </w:tc>
        <w:tc>
          <w:tcPr>
            <w:tcW w:w="5985" w:type="dxa"/>
            <w:shd w:val="clear" w:color="000000" w:fill="auto"/>
            <w:vAlign w:val="center"/>
          </w:tcPr>
          <w:p w:rsidR="003C0091" w:rsidRPr="00DF3598" w:rsidRDefault="003C0091" w:rsidP="00DF3598">
            <w:pPr>
              <w:spacing w:after="0" w:line="240" w:lineRule="auto"/>
              <w:ind w:firstLineChars="100" w:firstLine="240"/>
              <w:jc w:val="both"/>
              <w:rPr>
                <w:rFonts w:ascii="Calibri" w:eastAsia="Times New Roman" w:hAnsi="Calibri" w:cs="Calibri"/>
                <w:color w:val="000000"/>
                <w:sz w:val="24"/>
                <w:szCs w:val="24"/>
              </w:rPr>
            </w:pPr>
            <w:r w:rsidRPr="00DF3598">
              <w:rPr>
                <w:rFonts w:ascii="Calibri" w:eastAsia="Times New Roman" w:hAnsi="Calibri" w:cs="Calibri"/>
                <w:color w:val="000000"/>
                <w:sz w:val="24"/>
                <w:szCs w:val="24"/>
              </w:rPr>
              <w:t>Heavy Equipment Operation –Bulldozer NC II</w:t>
            </w:r>
          </w:p>
        </w:tc>
        <w:tc>
          <w:tcPr>
            <w:tcW w:w="960" w:type="dxa"/>
            <w:shd w:val="clear" w:color="auto" w:fill="auto"/>
            <w:noWrap/>
            <w:vAlign w:val="bottom"/>
          </w:tcPr>
          <w:p w:rsidR="003C0091" w:rsidRPr="00DF3598" w:rsidRDefault="003C0091" w:rsidP="004834E6">
            <w:pPr>
              <w:spacing w:after="0" w:line="240" w:lineRule="auto"/>
              <w:jc w:val="both"/>
              <w:rPr>
                <w:rFonts w:ascii="Calibri" w:eastAsia="Times New Roman" w:hAnsi="Calibri" w:cs="Calibri"/>
                <w:color w:val="000000"/>
                <w:sz w:val="24"/>
                <w:szCs w:val="24"/>
              </w:rPr>
            </w:pPr>
            <w:r w:rsidRPr="00DF3598">
              <w:rPr>
                <w:rFonts w:ascii="Calibri" w:eastAsia="Times New Roman" w:hAnsi="Calibri" w:cs="Calibri"/>
                <w:color w:val="000000"/>
                <w:sz w:val="24"/>
                <w:szCs w:val="24"/>
              </w:rPr>
              <w:t>1648</w:t>
            </w:r>
          </w:p>
        </w:tc>
      </w:tr>
      <w:tr w:rsidR="00AB3AEA" w:rsidRPr="00DF3598" w:rsidTr="006377F9">
        <w:trPr>
          <w:trHeight w:val="315"/>
        </w:trPr>
        <w:tc>
          <w:tcPr>
            <w:tcW w:w="960" w:type="dxa"/>
            <w:shd w:val="clear" w:color="auto" w:fill="auto"/>
            <w:noWrap/>
            <w:vAlign w:val="bottom"/>
            <w:hideMark/>
          </w:tcPr>
          <w:p w:rsidR="00AB3AEA" w:rsidRPr="00DF3598" w:rsidRDefault="003C0091" w:rsidP="004834E6">
            <w:pPr>
              <w:spacing w:after="0" w:line="240" w:lineRule="auto"/>
              <w:jc w:val="both"/>
              <w:rPr>
                <w:rFonts w:ascii="Calibri" w:eastAsia="Times New Roman" w:hAnsi="Calibri" w:cs="Calibri"/>
                <w:color w:val="000000"/>
                <w:sz w:val="24"/>
                <w:szCs w:val="24"/>
              </w:rPr>
            </w:pPr>
            <w:r w:rsidRPr="00DF3598">
              <w:rPr>
                <w:rFonts w:ascii="Calibri" w:eastAsia="Times New Roman" w:hAnsi="Calibri" w:cs="Calibri"/>
                <w:color w:val="000000"/>
                <w:sz w:val="24"/>
                <w:szCs w:val="24"/>
              </w:rPr>
              <w:t>5</w:t>
            </w:r>
          </w:p>
        </w:tc>
        <w:tc>
          <w:tcPr>
            <w:tcW w:w="5985" w:type="dxa"/>
            <w:shd w:val="clear" w:color="000000" w:fill="auto"/>
            <w:vAlign w:val="center"/>
            <w:hideMark/>
          </w:tcPr>
          <w:p w:rsidR="00AB3AEA" w:rsidRPr="00DF3598" w:rsidRDefault="00AB3AEA" w:rsidP="00DF3598">
            <w:pPr>
              <w:spacing w:after="0" w:line="240" w:lineRule="auto"/>
              <w:ind w:firstLineChars="100" w:firstLine="240"/>
              <w:jc w:val="both"/>
              <w:rPr>
                <w:rFonts w:ascii="Calibri" w:eastAsia="Times New Roman" w:hAnsi="Calibri" w:cs="Calibri"/>
                <w:color w:val="000000"/>
                <w:sz w:val="24"/>
                <w:szCs w:val="24"/>
              </w:rPr>
            </w:pPr>
            <w:r w:rsidRPr="00DF3598">
              <w:rPr>
                <w:rFonts w:ascii="Calibri" w:eastAsia="Times New Roman" w:hAnsi="Calibri" w:cs="Calibri"/>
                <w:color w:val="000000"/>
                <w:sz w:val="24"/>
                <w:szCs w:val="24"/>
              </w:rPr>
              <w:t>Food and Beverage Services NC II</w:t>
            </w:r>
          </w:p>
        </w:tc>
        <w:tc>
          <w:tcPr>
            <w:tcW w:w="960" w:type="dxa"/>
            <w:shd w:val="clear" w:color="auto" w:fill="auto"/>
            <w:noWrap/>
            <w:vAlign w:val="bottom"/>
            <w:hideMark/>
          </w:tcPr>
          <w:p w:rsidR="00AB3AEA" w:rsidRPr="00DF3598" w:rsidRDefault="00AB3AEA" w:rsidP="004834E6">
            <w:pPr>
              <w:spacing w:after="0" w:line="240" w:lineRule="auto"/>
              <w:jc w:val="both"/>
              <w:rPr>
                <w:rFonts w:ascii="Calibri" w:eastAsia="Times New Roman" w:hAnsi="Calibri" w:cs="Calibri"/>
                <w:color w:val="000000"/>
                <w:sz w:val="24"/>
                <w:szCs w:val="24"/>
              </w:rPr>
            </w:pPr>
            <w:r w:rsidRPr="00DF3598">
              <w:rPr>
                <w:rFonts w:ascii="Calibri" w:eastAsia="Times New Roman" w:hAnsi="Calibri" w:cs="Calibri"/>
                <w:color w:val="000000"/>
                <w:sz w:val="24"/>
                <w:szCs w:val="24"/>
              </w:rPr>
              <w:t>1343</w:t>
            </w:r>
          </w:p>
        </w:tc>
      </w:tr>
      <w:tr w:rsidR="00AB3AEA" w:rsidRPr="00DF3598" w:rsidTr="006377F9">
        <w:trPr>
          <w:trHeight w:val="315"/>
        </w:trPr>
        <w:tc>
          <w:tcPr>
            <w:tcW w:w="960" w:type="dxa"/>
            <w:shd w:val="clear" w:color="auto" w:fill="auto"/>
            <w:noWrap/>
            <w:vAlign w:val="bottom"/>
            <w:hideMark/>
          </w:tcPr>
          <w:p w:rsidR="00AB3AEA" w:rsidRPr="00DF3598" w:rsidRDefault="003C0091" w:rsidP="004834E6">
            <w:pPr>
              <w:spacing w:after="0" w:line="240" w:lineRule="auto"/>
              <w:jc w:val="both"/>
              <w:rPr>
                <w:rFonts w:ascii="Calibri" w:eastAsia="Times New Roman" w:hAnsi="Calibri" w:cs="Calibri"/>
                <w:color w:val="000000"/>
                <w:sz w:val="24"/>
                <w:szCs w:val="24"/>
              </w:rPr>
            </w:pPr>
            <w:r w:rsidRPr="00DF3598">
              <w:rPr>
                <w:rFonts w:ascii="Calibri" w:eastAsia="Times New Roman" w:hAnsi="Calibri" w:cs="Calibri"/>
                <w:color w:val="000000"/>
                <w:sz w:val="24"/>
                <w:szCs w:val="24"/>
              </w:rPr>
              <w:t>6</w:t>
            </w:r>
          </w:p>
        </w:tc>
        <w:tc>
          <w:tcPr>
            <w:tcW w:w="5985" w:type="dxa"/>
            <w:shd w:val="clear" w:color="000000" w:fill="auto"/>
            <w:vAlign w:val="center"/>
            <w:hideMark/>
          </w:tcPr>
          <w:p w:rsidR="00AB3AEA" w:rsidRPr="00DF3598" w:rsidRDefault="00AB3AEA" w:rsidP="00DF3598">
            <w:pPr>
              <w:spacing w:after="0" w:line="240" w:lineRule="auto"/>
              <w:ind w:firstLineChars="100" w:firstLine="240"/>
              <w:jc w:val="both"/>
              <w:rPr>
                <w:rFonts w:ascii="Calibri" w:eastAsia="Times New Roman" w:hAnsi="Calibri" w:cs="Calibri"/>
                <w:color w:val="000000"/>
                <w:sz w:val="24"/>
                <w:szCs w:val="24"/>
              </w:rPr>
            </w:pPr>
            <w:r w:rsidRPr="00DF3598">
              <w:rPr>
                <w:rFonts w:ascii="Calibri" w:eastAsia="Times New Roman" w:hAnsi="Calibri" w:cs="Calibri"/>
                <w:color w:val="000000"/>
                <w:sz w:val="24"/>
                <w:szCs w:val="24"/>
              </w:rPr>
              <w:t>Bread and Pastry Production NC II</w:t>
            </w:r>
          </w:p>
        </w:tc>
        <w:tc>
          <w:tcPr>
            <w:tcW w:w="960" w:type="dxa"/>
            <w:shd w:val="clear" w:color="auto" w:fill="auto"/>
            <w:noWrap/>
            <w:vAlign w:val="bottom"/>
            <w:hideMark/>
          </w:tcPr>
          <w:p w:rsidR="00AB3AEA" w:rsidRPr="00DF3598" w:rsidRDefault="00AB3AEA" w:rsidP="004834E6">
            <w:pPr>
              <w:spacing w:after="0" w:line="240" w:lineRule="auto"/>
              <w:jc w:val="both"/>
              <w:rPr>
                <w:rFonts w:ascii="Calibri" w:eastAsia="Times New Roman" w:hAnsi="Calibri" w:cs="Calibri"/>
                <w:color w:val="000000"/>
                <w:sz w:val="24"/>
                <w:szCs w:val="24"/>
              </w:rPr>
            </w:pPr>
            <w:r w:rsidRPr="00DF3598">
              <w:rPr>
                <w:rFonts w:ascii="Calibri" w:eastAsia="Times New Roman" w:hAnsi="Calibri" w:cs="Calibri"/>
                <w:color w:val="000000"/>
                <w:sz w:val="24"/>
                <w:szCs w:val="24"/>
              </w:rPr>
              <w:t>1332</w:t>
            </w:r>
          </w:p>
        </w:tc>
      </w:tr>
      <w:tr w:rsidR="00AB3AEA" w:rsidRPr="00DF3598" w:rsidTr="006377F9">
        <w:trPr>
          <w:trHeight w:val="315"/>
        </w:trPr>
        <w:tc>
          <w:tcPr>
            <w:tcW w:w="960" w:type="dxa"/>
            <w:shd w:val="clear" w:color="auto" w:fill="auto"/>
            <w:noWrap/>
            <w:vAlign w:val="bottom"/>
            <w:hideMark/>
          </w:tcPr>
          <w:p w:rsidR="00AB3AEA" w:rsidRPr="00DF3598" w:rsidRDefault="003C0091" w:rsidP="004834E6">
            <w:pPr>
              <w:spacing w:after="0" w:line="240" w:lineRule="auto"/>
              <w:jc w:val="both"/>
              <w:rPr>
                <w:rFonts w:ascii="Calibri" w:eastAsia="Times New Roman" w:hAnsi="Calibri" w:cs="Calibri"/>
                <w:color w:val="000000"/>
                <w:sz w:val="24"/>
                <w:szCs w:val="24"/>
              </w:rPr>
            </w:pPr>
            <w:r w:rsidRPr="00DF3598">
              <w:rPr>
                <w:rFonts w:ascii="Calibri" w:eastAsia="Times New Roman" w:hAnsi="Calibri" w:cs="Calibri"/>
                <w:color w:val="000000"/>
                <w:sz w:val="24"/>
                <w:szCs w:val="24"/>
              </w:rPr>
              <w:t>7</w:t>
            </w:r>
          </w:p>
        </w:tc>
        <w:tc>
          <w:tcPr>
            <w:tcW w:w="5985" w:type="dxa"/>
            <w:shd w:val="clear" w:color="000000" w:fill="auto"/>
            <w:vAlign w:val="center"/>
            <w:hideMark/>
          </w:tcPr>
          <w:p w:rsidR="00AB3AEA" w:rsidRPr="00DF3598" w:rsidRDefault="00AB3AEA" w:rsidP="00DF3598">
            <w:pPr>
              <w:spacing w:after="0" w:line="240" w:lineRule="auto"/>
              <w:ind w:firstLineChars="100" w:firstLine="240"/>
              <w:jc w:val="both"/>
              <w:rPr>
                <w:rFonts w:ascii="Calibri" w:eastAsia="Times New Roman" w:hAnsi="Calibri" w:cs="Calibri"/>
                <w:color w:val="000000"/>
                <w:sz w:val="24"/>
                <w:szCs w:val="24"/>
              </w:rPr>
            </w:pPr>
            <w:r w:rsidRPr="00DF3598">
              <w:rPr>
                <w:rFonts w:ascii="Calibri" w:eastAsia="Times New Roman" w:hAnsi="Calibri" w:cs="Calibri"/>
                <w:color w:val="000000"/>
                <w:sz w:val="24"/>
                <w:szCs w:val="24"/>
              </w:rPr>
              <w:t>Computer System Servicing NC II</w:t>
            </w:r>
          </w:p>
        </w:tc>
        <w:tc>
          <w:tcPr>
            <w:tcW w:w="960" w:type="dxa"/>
            <w:shd w:val="clear" w:color="auto" w:fill="auto"/>
            <w:noWrap/>
            <w:vAlign w:val="bottom"/>
            <w:hideMark/>
          </w:tcPr>
          <w:p w:rsidR="00AB3AEA" w:rsidRPr="00DF3598" w:rsidRDefault="00AB3AEA" w:rsidP="004834E6">
            <w:pPr>
              <w:spacing w:after="0" w:line="240" w:lineRule="auto"/>
              <w:jc w:val="both"/>
              <w:rPr>
                <w:rFonts w:ascii="Calibri" w:eastAsia="Times New Roman" w:hAnsi="Calibri" w:cs="Calibri"/>
                <w:color w:val="000000"/>
                <w:sz w:val="24"/>
                <w:szCs w:val="24"/>
              </w:rPr>
            </w:pPr>
            <w:r w:rsidRPr="00DF3598">
              <w:rPr>
                <w:rFonts w:ascii="Calibri" w:eastAsia="Times New Roman" w:hAnsi="Calibri" w:cs="Calibri"/>
                <w:color w:val="000000"/>
                <w:sz w:val="24"/>
                <w:szCs w:val="24"/>
              </w:rPr>
              <w:t>1324</w:t>
            </w:r>
          </w:p>
        </w:tc>
      </w:tr>
      <w:tr w:rsidR="00AB3AEA" w:rsidRPr="00DF3598" w:rsidTr="006377F9">
        <w:trPr>
          <w:trHeight w:val="315"/>
        </w:trPr>
        <w:tc>
          <w:tcPr>
            <w:tcW w:w="960" w:type="dxa"/>
            <w:shd w:val="clear" w:color="auto" w:fill="auto"/>
            <w:noWrap/>
            <w:vAlign w:val="bottom"/>
            <w:hideMark/>
          </w:tcPr>
          <w:p w:rsidR="00AB3AEA" w:rsidRPr="00DF3598" w:rsidRDefault="003C0091" w:rsidP="004834E6">
            <w:pPr>
              <w:spacing w:after="0" w:line="240" w:lineRule="auto"/>
              <w:jc w:val="both"/>
              <w:rPr>
                <w:rFonts w:ascii="Calibri" w:eastAsia="Times New Roman" w:hAnsi="Calibri" w:cs="Calibri"/>
                <w:color w:val="000000"/>
                <w:sz w:val="24"/>
                <w:szCs w:val="24"/>
              </w:rPr>
            </w:pPr>
            <w:r w:rsidRPr="00DF3598">
              <w:rPr>
                <w:rFonts w:ascii="Calibri" w:eastAsia="Times New Roman" w:hAnsi="Calibri" w:cs="Calibri"/>
                <w:color w:val="000000"/>
                <w:sz w:val="24"/>
                <w:szCs w:val="24"/>
              </w:rPr>
              <w:t>8</w:t>
            </w:r>
          </w:p>
        </w:tc>
        <w:tc>
          <w:tcPr>
            <w:tcW w:w="5985" w:type="dxa"/>
            <w:shd w:val="clear" w:color="000000" w:fill="auto"/>
            <w:vAlign w:val="center"/>
            <w:hideMark/>
          </w:tcPr>
          <w:p w:rsidR="00AB3AEA" w:rsidRPr="00DF3598" w:rsidRDefault="00AB3AEA" w:rsidP="00DF3598">
            <w:pPr>
              <w:spacing w:after="0" w:line="240" w:lineRule="auto"/>
              <w:ind w:firstLineChars="100" w:firstLine="240"/>
              <w:jc w:val="both"/>
              <w:rPr>
                <w:rFonts w:ascii="Calibri" w:eastAsia="Times New Roman" w:hAnsi="Calibri" w:cs="Calibri"/>
                <w:color w:val="000000"/>
                <w:sz w:val="24"/>
                <w:szCs w:val="24"/>
              </w:rPr>
            </w:pPr>
            <w:r w:rsidRPr="00DF3598">
              <w:rPr>
                <w:rFonts w:ascii="Calibri" w:eastAsia="Times New Roman" w:hAnsi="Calibri" w:cs="Calibri"/>
                <w:color w:val="000000"/>
                <w:sz w:val="24"/>
                <w:szCs w:val="24"/>
              </w:rPr>
              <w:t>Driving NC II</w:t>
            </w:r>
          </w:p>
        </w:tc>
        <w:tc>
          <w:tcPr>
            <w:tcW w:w="960" w:type="dxa"/>
            <w:shd w:val="clear" w:color="auto" w:fill="auto"/>
            <w:noWrap/>
            <w:vAlign w:val="bottom"/>
            <w:hideMark/>
          </w:tcPr>
          <w:p w:rsidR="00AB3AEA" w:rsidRPr="00DF3598" w:rsidRDefault="00AB3AEA" w:rsidP="004834E6">
            <w:pPr>
              <w:spacing w:after="0" w:line="240" w:lineRule="auto"/>
              <w:jc w:val="both"/>
              <w:rPr>
                <w:rFonts w:ascii="Calibri" w:eastAsia="Times New Roman" w:hAnsi="Calibri" w:cs="Calibri"/>
                <w:color w:val="000000"/>
                <w:sz w:val="24"/>
                <w:szCs w:val="24"/>
              </w:rPr>
            </w:pPr>
            <w:r w:rsidRPr="00DF3598">
              <w:rPr>
                <w:rFonts w:ascii="Calibri" w:eastAsia="Times New Roman" w:hAnsi="Calibri" w:cs="Calibri"/>
                <w:color w:val="000000"/>
                <w:sz w:val="24"/>
                <w:szCs w:val="24"/>
              </w:rPr>
              <w:t>1139</w:t>
            </w:r>
          </w:p>
        </w:tc>
      </w:tr>
      <w:tr w:rsidR="00AB3AEA" w:rsidRPr="00DF3598" w:rsidTr="006377F9">
        <w:trPr>
          <w:trHeight w:val="315"/>
        </w:trPr>
        <w:tc>
          <w:tcPr>
            <w:tcW w:w="960" w:type="dxa"/>
            <w:shd w:val="clear" w:color="auto" w:fill="auto"/>
            <w:noWrap/>
            <w:vAlign w:val="bottom"/>
            <w:hideMark/>
          </w:tcPr>
          <w:p w:rsidR="00AB3AEA" w:rsidRPr="00DF3598" w:rsidRDefault="003C0091" w:rsidP="004834E6">
            <w:pPr>
              <w:spacing w:after="0" w:line="240" w:lineRule="auto"/>
              <w:jc w:val="both"/>
              <w:rPr>
                <w:rFonts w:ascii="Calibri" w:eastAsia="Times New Roman" w:hAnsi="Calibri" w:cs="Calibri"/>
                <w:color w:val="000000"/>
                <w:sz w:val="24"/>
                <w:szCs w:val="24"/>
              </w:rPr>
            </w:pPr>
            <w:r w:rsidRPr="00DF3598">
              <w:rPr>
                <w:rFonts w:ascii="Calibri" w:eastAsia="Times New Roman" w:hAnsi="Calibri" w:cs="Calibri"/>
                <w:color w:val="000000"/>
                <w:sz w:val="24"/>
                <w:szCs w:val="24"/>
              </w:rPr>
              <w:t>9</w:t>
            </w:r>
          </w:p>
        </w:tc>
        <w:tc>
          <w:tcPr>
            <w:tcW w:w="5985" w:type="dxa"/>
            <w:shd w:val="clear" w:color="000000" w:fill="auto"/>
            <w:vAlign w:val="center"/>
            <w:hideMark/>
          </w:tcPr>
          <w:p w:rsidR="00AB3AEA" w:rsidRPr="00DF3598" w:rsidRDefault="00AB3AEA" w:rsidP="00DF3598">
            <w:pPr>
              <w:spacing w:after="0" w:line="240" w:lineRule="auto"/>
              <w:ind w:firstLineChars="100" w:firstLine="240"/>
              <w:jc w:val="both"/>
              <w:rPr>
                <w:rFonts w:ascii="Calibri" w:eastAsia="Times New Roman" w:hAnsi="Calibri" w:cs="Calibri"/>
                <w:color w:val="000000"/>
                <w:sz w:val="24"/>
                <w:szCs w:val="24"/>
              </w:rPr>
            </w:pPr>
            <w:r w:rsidRPr="00DF3598">
              <w:rPr>
                <w:rFonts w:ascii="Calibri" w:eastAsia="Times New Roman" w:hAnsi="Calibri" w:cs="Calibri"/>
                <w:color w:val="000000"/>
                <w:sz w:val="24"/>
                <w:szCs w:val="24"/>
              </w:rPr>
              <w:t>SMAW NC II</w:t>
            </w:r>
          </w:p>
        </w:tc>
        <w:tc>
          <w:tcPr>
            <w:tcW w:w="960" w:type="dxa"/>
            <w:shd w:val="clear" w:color="auto" w:fill="auto"/>
            <w:noWrap/>
            <w:vAlign w:val="bottom"/>
            <w:hideMark/>
          </w:tcPr>
          <w:p w:rsidR="00AB3AEA" w:rsidRPr="00DF3598" w:rsidRDefault="00AB3AEA" w:rsidP="004834E6">
            <w:pPr>
              <w:spacing w:after="0" w:line="240" w:lineRule="auto"/>
              <w:jc w:val="both"/>
              <w:rPr>
                <w:rFonts w:ascii="Calibri" w:eastAsia="Times New Roman" w:hAnsi="Calibri" w:cs="Calibri"/>
                <w:color w:val="000000"/>
                <w:sz w:val="24"/>
                <w:szCs w:val="24"/>
              </w:rPr>
            </w:pPr>
            <w:r w:rsidRPr="00DF3598">
              <w:rPr>
                <w:rFonts w:ascii="Calibri" w:eastAsia="Times New Roman" w:hAnsi="Calibri" w:cs="Calibri"/>
                <w:color w:val="000000"/>
                <w:sz w:val="24"/>
                <w:szCs w:val="24"/>
              </w:rPr>
              <w:t>1107</w:t>
            </w:r>
          </w:p>
        </w:tc>
      </w:tr>
      <w:tr w:rsidR="00AB3AEA" w:rsidRPr="00DF3598" w:rsidTr="006377F9">
        <w:trPr>
          <w:trHeight w:val="315"/>
        </w:trPr>
        <w:tc>
          <w:tcPr>
            <w:tcW w:w="960" w:type="dxa"/>
            <w:shd w:val="clear" w:color="auto" w:fill="auto"/>
            <w:noWrap/>
            <w:vAlign w:val="bottom"/>
            <w:hideMark/>
          </w:tcPr>
          <w:p w:rsidR="00AB3AEA" w:rsidRPr="00DF3598" w:rsidRDefault="003C0091" w:rsidP="004834E6">
            <w:pPr>
              <w:spacing w:after="0" w:line="240" w:lineRule="auto"/>
              <w:jc w:val="both"/>
              <w:rPr>
                <w:rFonts w:ascii="Calibri" w:eastAsia="Times New Roman" w:hAnsi="Calibri" w:cs="Calibri"/>
                <w:color w:val="000000"/>
                <w:sz w:val="24"/>
                <w:szCs w:val="24"/>
              </w:rPr>
            </w:pPr>
            <w:r w:rsidRPr="00DF3598">
              <w:rPr>
                <w:rFonts w:ascii="Calibri" w:eastAsia="Times New Roman" w:hAnsi="Calibri" w:cs="Calibri"/>
                <w:color w:val="000000"/>
                <w:sz w:val="24"/>
                <w:szCs w:val="24"/>
              </w:rPr>
              <w:t>10</w:t>
            </w:r>
          </w:p>
        </w:tc>
        <w:tc>
          <w:tcPr>
            <w:tcW w:w="5985" w:type="dxa"/>
            <w:shd w:val="clear" w:color="000000" w:fill="auto"/>
            <w:vAlign w:val="center"/>
            <w:hideMark/>
          </w:tcPr>
          <w:p w:rsidR="00AB3AEA" w:rsidRPr="00DF3598" w:rsidRDefault="00AB3AEA" w:rsidP="00DF3598">
            <w:pPr>
              <w:spacing w:after="0" w:line="240" w:lineRule="auto"/>
              <w:ind w:firstLineChars="100" w:firstLine="240"/>
              <w:jc w:val="both"/>
              <w:rPr>
                <w:rFonts w:ascii="Calibri" w:eastAsia="Times New Roman" w:hAnsi="Calibri" w:cs="Calibri"/>
                <w:color w:val="000000"/>
                <w:sz w:val="24"/>
                <w:szCs w:val="24"/>
              </w:rPr>
            </w:pPr>
            <w:r w:rsidRPr="00DF3598">
              <w:rPr>
                <w:rFonts w:ascii="Calibri" w:eastAsia="Times New Roman" w:hAnsi="Calibri" w:cs="Calibri"/>
                <w:color w:val="000000"/>
                <w:sz w:val="24"/>
                <w:szCs w:val="24"/>
              </w:rPr>
              <w:t>Electronics Products Assembly and Servicing NC II</w:t>
            </w:r>
          </w:p>
        </w:tc>
        <w:tc>
          <w:tcPr>
            <w:tcW w:w="960" w:type="dxa"/>
            <w:shd w:val="clear" w:color="auto" w:fill="auto"/>
            <w:noWrap/>
            <w:vAlign w:val="bottom"/>
            <w:hideMark/>
          </w:tcPr>
          <w:p w:rsidR="00AB3AEA" w:rsidRPr="00DF3598" w:rsidRDefault="00AB3AEA" w:rsidP="004834E6">
            <w:pPr>
              <w:spacing w:after="0" w:line="240" w:lineRule="auto"/>
              <w:jc w:val="both"/>
              <w:rPr>
                <w:rFonts w:ascii="Calibri" w:eastAsia="Times New Roman" w:hAnsi="Calibri" w:cs="Calibri"/>
                <w:color w:val="000000"/>
                <w:sz w:val="24"/>
                <w:szCs w:val="24"/>
              </w:rPr>
            </w:pPr>
            <w:r w:rsidRPr="00DF3598">
              <w:rPr>
                <w:rFonts w:ascii="Calibri" w:eastAsia="Times New Roman" w:hAnsi="Calibri" w:cs="Calibri"/>
                <w:color w:val="000000"/>
                <w:sz w:val="24"/>
                <w:szCs w:val="24"/>
              </w:rPr>
              <w:t>1073</w:t>
            </w:r>
          </w:p>
        </w:tc>
      </w:tr>
    </w:tbl>
    <w:p w:rsidR="003C0091" w:rsidRPr="00DF3598" w:rsidRDefault="003C0091" w:rsidP="004834E6">
      <w:pPr>
        <w:spacing w:after="0" w:line="240" w:lineRule="auto"/>
        <w:jc w:val="both"/>
        <w:rPr>
          <w:sz w:val="24"/>
          <w:szCs w:val="24"/>
        </w:rPr>
      </w:pPr>
    </w:p>
    <w:p w:rsidR="004834E6" w:rsidRPr="00DF3598" w:rsidRDefault="004834E6" w:rsidP="004834E6">
      <w:pPr>
        <w:spacing w:after="0" w:line="240" w:lineRule="auto"/>
        <w:jc w:val="both"/>
        <w:rPr>
          <w:sz w:val="24"/>
          <w:szCs w:val="24"/>
        </w:rPr>
      </w:pPr>
    </w:p>
    <w:p w:rsidR="004834E6" w:rsidRPr="00DF3598" w:rsidRDefault="00D25EA4" w:rsidP="004834E6">
      <w:pPr>
        <w:spacing w:after="0" w:line="240" w:lineRule="auto"/>
        <w:ind w:firstLine="720"/>
        <w:jc w:val="both"/>
        <w:rPr>
          <w:sz w:val="24"/>
          <w:szCs w:val="24"/>
        </w:rPr>
      </w:pPr>
      <w:r w:rsidRPr="00DF3598">
        <w:rPr>
          <w:sz w:val="24"/>
          <w:szCs w:val="24"/>
        </w:rPr>
        <w:t xml:space="preserve">For </w:t>
      </w:r>
      <w:r w:rsidR="001B327F" w:rsidRPr="00DF3598">
        <w:rPr>
          <w:sz w:val="24"/>
          <w:szCs w:val="24"/>
        </w:rPr>
        <w:t>First Semester of</w:t>
      </w:r>
      <w:r w:rsidR="004834E6" w:rsidRPr="00DF3598">
        <w:rPr>
          <w:sz w:val="24"/>
          <w:szCs w:val="24"/>
        </w:rPr>
        <w:t xml:space="preserve"> 2017, the top ten (10) qualifications with the highest enrolled were Bread and Pastry Production NC II, </w:t>
      </w:r>
      <w:r w:rsidRPr="00DF3598">
        <w:rPr>
          <w:sz w:val="24"/>
          <w:szCs w:val="24"/>
        </w:rPr>
        <w:t>Food Processing NC II, SMAW NC II, Food and Beverage Services NC II, Masonry NC II, Computer Systems Servicing NC II, Heavy Equipment Operation (Backhoe) NC II, Electrical Installation and Maintenance NC II, Automotive Servicing NC II and Heavy Equipment Operation (Rigid On-Highway Dump Truck) NC II.</w:t>
      </w:r>
      <w:r w:rsidR="004834E6" w:rsidRPr="00DF3598">
        <w:rPr>
          <w:sz w:val="24"/>
          <w:szCs w:val="24"/>
        </w:rPr>
        <w:t xml:space="preserve"> (Table </w:t>
      </w:r>
      <w:r w:rsidR="00174E3E">
        <w:rPr>
          <w:sz w:val="24"/>
          <w:szCs w:val="24"/>
        </w:rPr>
        <w:t>4</w:t>
      </w:r>
      <w:r w:rsidR="004834E6" w:rsidRPr="00DF3598">
        <w:rPr>
          <w:sz w:val="24"/>
          <w:szCs w:val="24"/>
        </w:rPr>
        <w:t xml:space="preserve"> – Top Ten Qualifications with Highest Enrollment, CY 2017)</w:t>
      </w:r>
    </w:p>
    <w:p w:rsidR="004834E6" w:rsidRPr="00DF3598" w:rsidRDefault="004834E6" w:rsidP="004834E6">
      <w:pPr>
        <w:spacing w:after="0" w:line="240" w:lineRule="auto"/>
        <w:jc w:val="both"/>
        <w:rPr>
          <w:sz w:val="24"/>
          <w:szCs w:val="24"/>
        </w:rPr>
      </w:pPr>
    </w:p>
    <w:p w:rsidR="004834E6" w:rsidRPr="00A759C6" w:rsidRDefault="004834E6" w:rsidP="004834E6">
      <w:pPr>
        <w:spacing w:after="0" w:line="240" w:lineRule="auto"/>
        <w:jc w:val="center"/>
        <w:rPr>
          <w:b/>
          <w:sz w:val="24"/>
          <w:szCs w:val="24"/>
        </w:rPr>
      </w:pPr>
      <w:r w:rsidRPr="00A759C6">
        <w:rPr>
          <w:b/>
          <w:sz w:val="24"/>
          <w:szCs w:val="24"/>
        </w:rPr>
        <w:t xml:space="preserve">Table </w:t>
      </w:r>
      <w:r w:rsidR="00A759C6" w:rsidRPr="00A759C6">
        <w:rPr>
          <w:b/>
          <w:sz w:val="24"/>
          <w:szCs w:val="24"/>
        </w:rPr>
        <w:t>6</w:t>
      </w:r>
      <w:r w:rsidRPr="00A759C6">
        <w:rPr>
          <w:b/>
          <w:sz w:val="24"/>
          <w:szCs w:val="24"/>
        </w:rPr>
        <w:t>. Top Ten Qualifications with Highest Enrollment</w:t>
      </w:r>
    </w:p>
    <w:p w:rsidR="004834E6" w:rsidRPr="00A759C6" w:rsidRDefault="001B327F" w:rsidP="004834E6">
      <w:pPr>
        <w:tabs>
          <w:tab w:val="left" w:pos="1320"/>
        </w:tabs>
        <w:spacing w:after="0" w:line="240" w:lineRule="auto"/>
        <w:jc w:val="center"/>
        <w:rPr>
          <w:b/>
          <w:sz w:val="24"/>
          <w:szCs w:val="24"/>
        </w:rPr>
      </w:pPr>
      <w:r w:rsidRPr="00A759C6">
        <w:rPr>
          <w:b/>
          <w:sz w:val="24"/>
          <w:szCs w:val="24"/>
        </w:rPr>
        <w:t xml:space="preserve">First Semester </w:t>
      </w:r>
      <w:r w:rsidR="004834E6" w:rsidRPr="00A759C6">
        <w:rPr>
          <w:b/>
          <w:sz w:val="24"/>
          <w:szCs w:val="24"/>
        </w:rPr>
        <w:t>201</w:t>
      </w:r>
      <w:r w:rsidRPr="00A759C6">
        <w:rPr>
          <w:b/>
          <w:sz w:val="24"/>
          <w:szCs w:val="24"/>
        </w:rPr>
        <w:t>7</w:t>
      </w:r>
    </w:p>
    <w:p w:rsidR="004834E6" w:rsidRPr="00DF3598" w:rsidRDefault="004834E6" w:rsidP="004834E6">
      <w:pPr>
        <w:spacing w:after="0" w:line="240" w:lineRule="auto"/>
        <w:jc w:val="both"/>
        <w:rPr>
          <w:sz w:val="24"/>
          <w:szCs w:val="24"/>
        </w:rPr>
      </w:pPr>
    </w:p>
    <w:tbl>
      <w:tblPr>
        <w:tblW w:w="864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6510"/>
        <w:gridCol w:w="1170"/>
      </w:tblGrid>
      <w:tr w:rsidR="004834E6" w:rsidRPr="00DF3598" w:rsidTr="00174E3E">
        <w:trPr>
          <w:trHeight w:val="315"/>
        </w:trPr>
        <w:tc>
          <w:tcPr>
            <w:tcW w:w="960" w:type="dxa"/>
            <w:shd w:val="clear" w:color="auto" w:fill="auto"/>
            <w:noWrap/>
            <w:vAlign w:val="bottom"/>
          </w:tcPr>
          <w:p w:rsidR="004834E6" w:rsidRPr="00174E3E" w:rsidRDefault="004834E6" w:rsidP="00BD558E">
            <w:pPr>
              <w:spacing w:after="0" w:line="240" w:lineRule="auto"/>
              <w:jc w:val="center"/>
              <w:rPr>
                <w:rFonts w:ascii="Calibri" w:eastAsia="Times New Roman" w:hAnsi="Calibri" w:cs="Calibri"/>
                <w:color w:val="000000"/>
              </w:rPr>
            </w:pPr>
            <w:r w:rsidRPr="00174E3E">
              <w:rPr>
                <w:rFonts w:ascii="Calibri" w:eastAsia="Times New Roman" w:hAnsi="Calibri" w:cs="Calibri"/>
                <w:color w:val="000000"/>
              </w:rPr>
              <w:t>Rank</w:t>
            </w:r>
          </w:p>
        </w:tc>
        <w:tc>
          <w:tcPr>
            <w:tcW w:w="6510" w:type="dxa"/>
            <w:shd w:val="clear" w:color="000000" w:fill="auto"/>
            <w:vAlign w:val="center"/>
          </w:tcPr>
          <w:p w:rsidR="004834E6" w:rsidRPr="00174E3E" w:rsidRDefault="004834E6" w:rsidP="00174E3E">
            <w:pPr>
              <w:spacing w:after="0" w:line="240" w:lineRule="auto"/>
              <w:ind w:firstLineChars="100" w:firstLine="220"/>
              <w:jc w:val="center"/>
              <w:rPr>
                <w:rFonts w:ascii="Calibri" w:eastAsia="Times New Roman" w:hAnsi="Calibri" w:cs="Calibri"/>
                <w:color w:val="000000"/>
              </w:rPr>
            </w:pPr>
            <w:r w:rsidRPr="00174E3E">
              <w:rPr>
                <w:rFonts w:ascii="Calibri" w:eastAsia="Times New Roman" w:hAnsi="Calibri" w:cs="Calibri"/>
                <w:color w:val="000000"/>
              </w:rPr>
              <w:t>Qualification</w:t>
            </w:r>
          </w:p>
        </w:tc>
        <w:tc>
          <w:tcPr>
            <w:tcW w:w="1170" w:type="dxa"/>
            <w:shd w:val="clear" w:color="auto" w:fill="auto"/>
            <w:noWrap/>
            <w:vAlign w:val="bottom"/>
          </w:tcPr>
          <w:p w:rsidR="004834E6" w:rsidRPr="00174E3E" w:rsidRDefault="004834E6" w:rsidP="00BD558E">
            <w:pPr>
              <w:spacing w:after="0" w:line="240" w:lineRule="auto"/>
              <w:jc w:val="center"/>
              <w:rPr>
                <w:rFonts w:ascii="Calibri" w:eastAsia="Times New Roman" w:hAnsi="Calibri" w:cs="Calibri"/>
                <w:color w:val="000000"/>
              </w:rPr>
            </w:pPr>
            <w:r w:rsidRPr="00174E3E">
              <w:rPr>
                <w:rFonts w:ascii="Calibri" w:eastAsia="Times New Roman" w:hAnsi="Calibri" w:cs="Calibri"/>
                <w:color w:val="000000"/>
              </w:rPr>
              <w:t>Enrolled</w:t>
            </w:r>
          </w:p>
        </w:tc>
      </w:tr>
      <w:tr w:rsidR="004834E6" w:rsidRPr="00DF3598" w:rsidTr="00174E3E">
        <w:trPr>
          <w:trHeight w:val="315"/>
        </w:trPr>
        <w:tc>
          <w:tcPr>
            <w:tcW w:w="960" w:type="dxa"/>
            <w:shd w:val="clear" w:color="auto" w:fill="auto"/>
            <w:noWrap/>
            <w:vAlign w:val="bottom"/>
            <w:hideMark/>
          </w:tcPr>
          <w:p w:rsidR="004834E6" w:rsidRPr="00174E3E" w:rsidRDefault="004834E6" w:rsidP="00174E3E">
            <w:pPr>
              <w:spacing w:after="0" w:line="240" w:lineRule="auto"/>
              <w:jc w:val="center"/>
              <w:rPr>
                <w:rFonts w:ascii="Calibri" w:eastAsia="Times New Roman" w:hAnsi="Calibri" w:cs="Calibri"/>
                <w:color w:val="000000"/>
              </w:rPr>
            </w:pPr>
            <w:r w:rsidRPr="00174E3E">
              <w:rPr>
                <w:rFonts w:ascii="Calibri" w:eastAsia="Times New Roman" w:hAnsi="Calibri" w:cs="Calibri"/>
                <w:color w:val="000000"/>
              </w:rPr>
              <w:t>1</w:t>
            </w:r>
          </w:p>
        </w:tc>
        <w:tc>
          <w:tcPr>
            <w:tcW w:w="6510" w:type="dxa"/>
            <w:shd w:val="clear" w:color="000000" w:fill="auto"/>
            <w:vAlign w:val="center"/>
          </w:tcPr>
          <w:p w:rsidR="004834E6" w:rsidRPr="00174E3E" w:rsidRDefault="004834E6" w:rsidP="00174E3E">
            <w:pPr>
              <w:spacing w:after="0" w:line="240" w:lineRule="auto"/>
              <w:ind w:firstLineChars="100" w:firstLine="220"/>
              <w:jc w:val="both"/>
              <w:rPr>
                <w:rFonts w:ascii="Calibri" w:eastAsia="Times New Roman" w:hAnsi="Calibri" w:cs="Calibri"/>
                <w:color w:val="000000"/>
              </w:rPr>
            </w:pPr>
            <w:r w:rsidRPr="00174E3E">
              <w:rPr>
                <w:rFonts w:ascii="Calibri" w:eastAsia="Times New Roman" w:hAnsi="Calibri" w:cs="Calibri"/>
                <w:color w:val="000000"/>
              </w:rPr>
              <w:t>Bread and Pastry Production NC II</w:t>
            </w:r>
          </w:p>
        </w:tc>
        <w:tc>
          <w:tcPr>
            <w:tcW w:w="1170" w:type="dxa"/>
            <w:shd w:val="clear" w:color="auto" w:fill="auto"/>
            <w:noWrap/>
            <w:vAlign w:val="bottom"/>
          </w:tcPr>
          <w:p w:rsidR="004834E6" w:rsidRPr="00174E3E" w:rsidRDefault="001B327F" w:rsidP="00174E3E">
            <w:pPr>
              <w:spacing w:after="0" w:line="240" w:lineRule="auto"/>
              <w:jc w:val="center"/>
              <w:rPr>
                <w:rFonts w:ascii="Calibri" w:eastAsia="Times New Roman" w:hAnsi="Calibri" w:cs="Calibri"/>
                <w:color w:val="000000"/>
              </w:rPr>
            </w:pPr>
            <w:r w:rsidRPr="00174E3E">
              <w:rPr>
                <w:rFonts w:ascii="Calibri" w:eastAsia="Times New Roman" w:hAnsi="Calibri" w:cs="Calibri"/>
                <w:color w:val="000000"/>
              </w:rPr>
              <w:t>1771</w:t>
            </w:r>
          </w:p>
        </w:tc>
      </w:tr>
      <w:tr w:rsidR="004834E6" w:rsidRPr="00DF3598" w:rsidTr="00174E3E">
        <w:trPr>
          <w:trHeight w:val="315"/>
        </w:trPr>
        <w:tc>
          <w:tcPr>
            <w:tcW w:w="960" w:type="dxa"/>
            <w:shd w:val="clear" w:color="auto" w:fill="auto"/>
            <w:noWrap/>
            <w:vAlign w:val="bottom"/>
          </w:tcPr>
          <w:p w:rsidR="004834E6" w:rsidRPr="00174E3E" w:rsidRDefault="004834E6" w:rsidP="00174E3E">
            <w:pPr>
              <w:spacing w:after="0" w:line="240" w:lineRule="auto"/>
              <w:jc w:val="center"/>
              <w:rPr>
                <w:rFonts w:ascii="Calibri" w:eastAsia="Times New Roman" w:hAnsi="Calibri" w:cs="Calibri"/>
                <w:color w:val="000000"/>
              </w:rPr>
            </w:pPr>
            <w:r w:rsidRPr="00174E3E">
              <w:rPr>
                <w:rFonts w:ascii="Calibri" w:eastAsia="Times New Roman" w:hAnsi="Calibri" w:cs="Calibri"/>
                <w:color w:val="000000"/>
              </w:rPr>
              <w:t>2</w:t>
            </w:r>
          </w:p>
        </w:tc>
        <w:tc>
          <w:tcPr>
            <w:tcW w:w="6510" w:type="dxa"/>
            <w:shd w:val="clear" w:color="000000" w:fill="auto"/>
            <w:vAlign w:val="center"/>
          </w:tcPr>
          <w:p w:rsidR="004834E6" w:rsidRPr="00174E3E" w:rsidRDefault="001B327F" w:rsidP="00174E3E">
            <w:pPr>
              <w:spacing w:after="0" w:line="240" w:lineRule="auto"/>
              <w:ind w:firstLineChars="100" w:firstLine="220"/>
              <w:jc w:val="both"/>
              <w:rPr>
                <w:rFonts w:ascii="Calibri" w:eastAsia="Times New Roman" w:hAnsi="Calibri" w:cs="Calibri"/>
                <w:color w:val="000000"/>
              </w:rPr>
            </w:pPr>
            <w:r w:rsidRPr="00174E3E">
              <w:rPr>
                <w:rFonts w:ascii="Calibri" w:eastAsia="Times New Roman" w:hAnsi="Calibri" w:cs="Calibri"/>
                <w:color w:val="000000"/>
              </w:rPr>
              <w:t>Food Processing NC II</w:t>
            </w:r>
          </w:p>
        </w:tc>
        <w:tc>
          <w:tcPr>
            <w:tcW w:w="1170" w:type="dxa"/>
            <w:shd w:val="clear" w:color="auto" w:fill="auto"/>
            <w:noWrap/>
            <w:vAlign w:val="bottom"/>
          </w:tcPr>
          <w:p w:rsidR="004834E6" w:rsidRPr="00174E3E" w:rsidRDefault="001B327F" w:rsidP="00174E3E">
            <w:pPr>
              <w:spacing w:after="0" w:line="240" w:lineRule="auto"/>
              <w:jc w:val="center"/>
              <w:rPr>
                <w:rFonts w:ascii="Calibri" w:eastAsia="Times New Roman" w:hAnsi="Calibri" w:cs="Calibri"/>
                <w:color w:val="000000"/>
              </w:rPr>
            </w:pPr>
            <w:r w:rsidRPr="00174E3E">
              <w:rPr>
                <w:rFonts w:ascii="Calibri" w:eastAsia="Times New Roman" w:hAnsi="Calibri" w:cs="Calibri"/>
                <w:color w:val="000000"/>
              </w:rPr>
              <w:t>1447</w:t>
            </w:r>
          </w:p>
        </w:tc>
      </w:tr>
      <w:tr w:rsidR="004834E6" w:rsidRPr="00DF3598" w:rsidTr="00174E3E">
        <w:trPr>
          <w:trHeight w:val="315"/>
        </w:trPr>
        <w:tc>
          <w:tcPr>
            <w:tcW w:w="960" w:type="dxa"/>
            <w:shd w:val="clear" w:color="auto" w:fill="auto"/>
            <w:noWrap/>
            <w:vAlign w:val="bottom"/>
          </w:tcPr>
          <w:p w:rsidR="004834E6" w:rsidRPr="00174E3E" w:rsidRDefault="004834E6" w:rsidP="00174E3E">
            <w:pPr>
              <w:spacing w:after="0" w:line="240" w:lineRule="auto"/>
              <w:jc w:val="center"/>
              <w:rPr>
                <w:rFonts w:ascii="Calibri" w:eastAsia="Times New Roman" w:hAnsi="Calibri" w:cs="Calibri"/>
                <w:color w:val="000000"/>
              </w:rPr>
            </w:pPr>
            <w:r w:rsidRPr="00174E3E">
              <w:rPr>
                <w:rFonts w:ascii="Calibri" w:eastAsia="Times New Roman" w:hAnsi="Calibri" w:cs="Calibri"/>
                <w:color w:val="000000"/>
              </w:rPr>
              <w:t>3</w:t>
            </w:r>
          </w:p>
        </w:tc>
        <w:tc>
          <w:tcPr>
            <w:tcW w:w="6510" w:type="dxa"/>
            <w:shd w:val="clear" w:color="000000" w:fill="auto"/>
            <w:vAlign w:val="center"/>
          </w:tcPr>
          <w:p w:rsidR="004834E6" w:rsidRPr="00174E3E" w:rsidRDefault="001B327F" w:rsidP="00174E3E">
            <w:pPr>
              <w:spacing w:after="0" w:line="240" w:lineRule="auto"/>
              <w:ind w:firstLineChars="100" w:firstLine="220"/>
              <w:jc w:val="both"/>
              <w:rPr>
                <w:rFonts w:ascii="Calibri" w:eastAsia="Times New Roman" w:hAnsi="Calibri" w:cs="Calibri"/>
                <w:color w:val="000000"/>
              </w:rPr>
            </w:pPr>
            <w:r w:rsidRPr="00174E3E">
              <w:rPr>
                <w:rFonts w:ascii="Calibri" w:eastAsia="Times New Roman" w:hAnsi="Calibri" w:cs="Calibri"/>
                <w:color w:val="000000"/>
              </w:rPr>
              <w:t>SMAW NC II</w:t>
            </w:r>
          </w:p>
        </w:tc>
        <w:tc>
          <w:tcPr>
            <w:tcW w:w="1170" w:type="dxa"/>
            <w:shd w:val="clear" w:color="auto" w:fill="auto"/>
            <w:noWrap/>
            <w:vAlign w:val="bottom"/>
          </w:tcPr>
          <w:p w:rsidR="004834E6" w:rsidRPr="00174E3E" w:rsidRDefault="001B327F" w:rsidP="00174E3E">
            <w:pPr>
              <w:spacing w:after="0" w:line="240" w:lineRule="auto"/>
              <w:jc w:val="center"/>
              <w:rPr>
                <w:rFonts w:ascii="Calibri" w:eastAsia="Times New Roman" w:hAnsi="Calibri" w:cs="Calibri"/>
                <w:color w:val="000000"/>
              </w:rPr>
            </w:pPr>
            <w:r w:rsidRPr="00174E3E">
              <w:rPr>
                <w:rFonts w:ascii="Calibri" w:eastAsia="Times New Roman" w:hAnsi="Calibri" w:cs="Calibri"/>
                <w:color w:val="000000"/>
              </w:rPr>
              <w:t>1414</w:t>
            </w:r>
          </w:p>
        </w:tc>
      </w:tr>
      <w:tr w:rsidR="004834E6" w:rsidRPr="00DF3598" w:rsidTr="00174E3E">
        <w:trPr>
          <w:trHeight w:val="315"/>
        </w:trPr>
        <w:tc>
          <w:tcPr>
            <w:tcW w:w="960" w:type="dxa"/>
            <w:shd w:val="clear" w:color="auto" w:fill="auto"/>
            <w:noWrap/>
            <w:vAlign w:val="bottom"/>
          </w:tcPr>
          <w:p w:rsidR="004834E6" w:rsidRPr="00174E3E" w:rsidRDefault="004834E6" w:rsidP="00174E3E">
            <w:pPr>
              <w:spacing w:after="0" w:line="240" w:lineRule="auto"/>
              <w:jc w:val="center"/>
              <w:rPr>
                <w:rFonts w:ascii="Calibri" w:eastAsia="Times New Roman" w:hAnsi="Calibri" w:cs="Calibri"/>
                <w:color w:val="000000"/>
              </w:rPr>
            </w:pPr>
            <w:r w:rsidRPr="00174E3E">
              <w:rPr>
                <w:rFonts w:ascii="Calibri" w:eastAsia="Times New Roman" w:hAnsi="Calibri" w:cs="Calibri"/>
                <w:color w:val="000000"/>
              </w:rPr>
              <w:t>4</w:t>
            </w:r>
          </w:p>
        </w:tc>
        <w:tc>
          <w:tcPr>
            <w:tcW w:w="6510" w:type="dxa"/>
            <w:shd w:val="clear" w:color="000000" w:fill="auto"/>
            <w:vAlign w:val="center"/>
          </w:tcPr>
          <w:p w:rsidR="004834E6" w:rsidRPr="00174E3E" w:rsidRDefault="001B327F" w:rsidP="00174E3E">
            <w:pPr>
              <w:spacing w:after="0" w:line="240" w:lineRule="auto"/>
              <w:ind w:firstLineChars="100" w:firstLine="220"/>
              <w:jc w:val="both"/>
              <w:rPr>
                <w:rFonts w:ascii="Calibri" w:eastAsia="Times New Roman" w:hAnsi="Calibri" w:cs="Calibri"/>
                <w:color w:val="000000"/>
              </w:rPr>
            </w:pPr>
            <w:r w:rsidRPr="00174E3E">
              <w:rPr>
                <w:rFonts w:ascii="Calibri" w:eastAsia="Times New Roman" w:hAnsi="Calibri" w:cs="Calibri"/>
                <w:color w:val="000000"/>
              </w:rPr>
              <w:t>Food and Beverage Services NC II</w:t>
            </w:r>
          </w:p>
        </w:tc>
        <w:tc>
          <w:tcPr>
            <w:tcW w:w="1170" w:type="dxa"/>
            <w:shd w:val="clear" w:color="auto" w:fill="auto"/>
            <w:noWrap/>
            <w:vAlign w:val="bottom"/>
          </w:tcPr>
          <w:p w:rsidR="004834E6" w:rsidRPr="00174E3E" w:rsidRDefault="001B327F" w:rsidP="00174E3E">
            <w:pPr>
              <w:spacing w:after="0" w:line="240" w:lineRule="auto"/>
              <w:jc w:val="center"/>
              <w:rPr>
                <w:rFonts w:ascii="Calibri" w:eastAsia="Times New Roman" w:hAnsi="Calibri" w:cs="Calibri"/>
                <w:color w:val="000000"/>
              </w:rPr>
            </w:pPr>
            <w:r w:rsidRPr="00174E3E">
              <w:rPr>
                <w:rFonts w:ascii="Calibri" w:eastAsia="Times New Roman" w:hAnsi="Calibri" w:cs="Calibri"/>
                <w:color w:val="000000"/>
              </w:rPr>
              <w:t>961</w:t>
            </w:r>
          </w:p>
        </w:tc>
      </w:tr>
      <w:tr w:rsidR="004834E6" w:rsidRPr="00DF3598" w:rsidTr="00174E3E">
        <w:trPr>
          <w:trHeight w:val="315"/>
        </w:trPr>
        <w:tc>
          <w:tcPr>
            <w:tcW w:w="960" w:type="dxa"/>
            <w:shd w:val="clear" w:color="auto" w:fill="auto"/>
            <w:noWrap/>
            <w:vAlign w:val="bottom"/>
            <w:hideMark/>
          </w:tcPr>
          <w:p w:rsidR="004834E6" w:rsidRPr="00174E3E" w:rsidRDefault="004834E6" w:rsidP="00174E3E">
            <w:pPr>
              <w:spacing w:after="0" w:line="240" w:lineRule="auto"/>
              <w:jc w:val="center"/>
              <w:rPr>
                <w:rFonts w:ascii="Calibri" w:eastAsia="Times New Roman" w:hAnsi="Calibri" w:cs="Calibri"/>
                <w:color w:val="000000"/>
              </w:rPr>
            </w:pPr>
            <w:r w:rsidRPr="00174E3E">
              <w:rPr>
                <w:rFonts w:ascii="Calibri" w:eastAsia="Times New Roman" w:hAnsi="Calibri" w:cs="Calibri"/>
                <w:color w:val="000000"/>
              </w:rPr>
              <w:t>5</w:t>
            </w:r>
          </w:p>
        </w:tc>
        <w:tc>
          <w:tcPr>
            <w:tcW w:w="6510" w:type="dxa"/>
            <w:shd w:val="clear" w:color="000000" w:fill="auto"/>
            <w:vAlign w:val="center"/>
          </w:tcPr>
          <w:p w:rsidR="004834E6" w:rsidRPr="00174E3E" w:rsidRDefault="001B327F" w:rsidP="00174E3E">
            <w:pPr>
              <w:spacing w:after="0" w:line="240" w:lineRule="auto"/>
              <w:ind w:firstLineChars="100" w:firstLine="220"/>
              <w:jc w:val="both"/>
              <w:rPr>
                <w:rFonts w:ascii="Calibri" w:eastAsia="Times New Roman" w:hAnsi="Calibri" w:cs="Calibri"/>
                <w:color w:val="000000"/>
              </w:rPr>
            </w:pPr>
            <w:r w:rsidRPr="00174E3E">
              <w:rPr>
                <w:rFonts w:ascii="Calibri" w:eastAsia="Times New Roman" w:hAnsi="Calibri" w:cs="Calibri"/>
                <w:color w:val="000000"/>
              </w:rPr>
              <w:t>Masonry NC II</w:t>
            </w:r>
          </w:p>
        </w:tc>
        <w:tc>
          <w:tcPr>
            <w:tcW w:w="1170" w:type="dxa"/>
            <w:shd w:val="clear" w:color="auto" w:fill="auto"/>
            <w:noWrap/>
            <w:vAlign w:val="bottom"/>
          </w:tcPr>
          <w:p w:rsidR="004834E6" w:rsidRPr="00174E3E" w:rsidRDefault="001B327F" w:rsidP="00174E3E">
            <w:pPr>
              <w:spacing w:after="0" w:line="240" w:lineRule="auto"/>
              <w:jc w:val="center"/>
              <w:rPr>
                <w:rFonts w:ascii="Calibri" w:eastAsia="Times New Roman" w:hAnsi="Calibri" w:cs="Calibri"/>
                <w:color w:val="000000"/>
              </w:rPr>
            </w:pPr>
            <w:r w:rsidRPr="00174E3E">
              <w:rPr>
                <w:rFonts w:ascii="Calibri" w:eastAsia="Times New Roman" w:hAnsi="Calibri" w:cs="Calibri"/>
                <w:color w:val="000000"/>
              </w:rPr>
              <w:t>672</w:t>
            </w:r>
          </w:p>
        </w:tc>
      </w:tr>
      <w:tr w:rsidR="004834E6" w:rsidRPr="00DF3598" w:rsidTr="00174E3E">
        <w:trPr>
          <w:trHeight w:val="315"/>
        </w:trPr>
        <w:tc>
          <w:tcPr>
            <w:tcW w:w="960" w:type="dxa"/>
            <w:shd w:val="clear" w:color="auto" w:fill="auto"/>
            <w:noWrap/>
            <w:vAlign w:val="bottom"/>
            <w:hideMark/>
          </w:tcPr>
          <w:p w:rsidR="004834E6" w:rsidRPr="00174E3E" w:rsidRDefault="004834E6" w:rsidP="00174E3E">
            <w:pPr>
              <w:spacing w:after="0" w:line="240" w:lineRule="auto"/>
              <w:jc w:val="center"/>
              <w:rPr>
                <w:rFonts w:ascii="Calibri" w:eastAsia="Times New Roman" w:hAnsi="Calibri" w:cs="Calibri"/>
                <w:color w:val="000000"/>
              </w:rPr>
            </w:pPr>
            <w:r w:rsidRPr="00174E3E">
              <w:rPr>
                <w:rFonts w:ascii="Calibri" w:eastAsia="Times New Roman" w:hAnsi="Calibri" w:cs="Calibri"/>
                <w:color w:val="000000"/>
              </w:rPr>
              <w:t>6</w:t>
            </w:r>
          </w:p>
        </w:tc>
        <w:tc>
          <w:tcPr>
            <w:tcW w:w="6510" w:type="dxa"/>
            <w:shd w:val="clear" w:color="000000" w:fill="auto"/>
            <w:vAlign w:val="center"/>
          </w:tcPr>
          <w:p w:rsidR="004834E6" w:rsidRPr="00174E3E" w:rsidRDefault="001B327F" w:rsidP="00174E3E">
            <w:pPr>
              <w:spacing w:after="0" w:line="240" w:lineRule="auto"/>
              <w:ind w:firstLineChars="100" w:firstLine="220"/>
              <w:jc w:val="both"/>
              <w:rPr>
                <w:rFonts w:ascii="Calibri" w:eastAsia="Times New Roman" w:hAnsi="Calibri" w:cs="Calibri"/>
                <w:color w:val="000000"/>
              </w:rPr>
            </w:pPr>
            <w:r w:rsidRPr="00174E3E">
              <w:rPr>
                <w:rFonts w:ascii="Calibri" w:eastAsia="Times New Roman" w:hAnsi="Calibri" w:cs="Calibri"/>
                <w:color w:val="000000"/>
              </w:rPr>
              <w:t>Computer Systems Servicing NC II</w:t>
            </w:r>
          </w:p>
        </w:tc>
        <w:tc>
          <w:tcPr>
            <w:tcW w:w="1170" w:type="dxa"/>
            <w:shd w:val="clear" w:color="auto" w:fill="auto"/>
            <w:noWrap/>
            <w:vAlign w:val="bottom"/>
          </w:tcPr>
          <w:p w:rsidR="004834E6" w:rsidRPr="00174E3E" w:rsidRDefault="001B327F" w:rsidP="00174E3E">
            <w:pPr>
              <w:spacing w:after="0" w:line="240" w:lineRule="auto"/>
              <w:jc w:val="center"/>
              <w:rPr>
                <w:rFonts w:ascii="Calibri" w:eastAsia="Times New Roman" w:hAnsi="Calibri" w:cs="Calibri"/>
                <w:color w:val="000000"/>
              </w:rPr>
            </w:pPr>
            <w:r w:rsidRPr="00174E3E">
              <w:rPr>
                <w:rFonts w:ascii="Calibri" w:eastAsia="Times New Roman" w:hAnsi="Calibri" w:cs="Calibri"/>
                <w:color w:val="000000"/>
              </w:rPr>
              <w:t>627</w:t>
            </w:r>
          </w:p>
        </w:tc>
      </w:tr>
      <w:tr w:rsidR="004834E6" w:rsidRPr="00DF3598" w:rsidTr="00174E3E">
        <w:trPr>
          <w:trHeight w:val="315"/>
        </w:trPr>
        <w:tc>
          <w:tcPr>
            <w:tcW w:w="960" w:type="dxa"/>
            <w:shd w:val="clear" w:color="auto" w:fill="auto"/>
            <w:noWrap/>
            <w:vAlign w:val="bottom"/>
            <w:hideMark/>
          </w:tcPr>
          <w:p w:rsidR="004834E6" w:rsidRPr="00174E3E" w:rsidRDefault="004834E6" w:rsidP="00174E3E">
            <w:pPr>
              <w:spacing w:after="0" w:line="240" w:lineRule="auto"/>
              <w:jc w:val="center"/>
              <w:rPr>
                <w:rFonts w:ascii="Calibri" w:eastAsia="Times New Roman" w:hAnsi="Calibri" w:cs="Calibri"/>
                <w:color w:val="000000"/>
              </w:rPr>
            </w:pPr>
            <w:r w:rsidRPr="00174E3E">
              <w:rPr>
                <w:rFonts w:ascii="Calibri" w:eastAsia="Times New Roman" w:hAnsi="Calibri" w:cs="Calibri"/>
                <w:color w:val="000000"/>
              </w:rPr>
              <w:t>7</w:t>
            </w:r>
          </w:p>
        </w:tc>
        <w:tc>
          <w:tcPr>
            <w:tcW w:w="6510" w:type="dxa"/>
            <w:shd w:val="clear" w:color="000000" w:fill="auto"/>
            <w:vAlign w:val="center"/>
          </w:tcPr>
          <w:p w:rsidR="004834E6" w:rsidRPr="00174E3E" w:rsidRDefault="001B327F" w:rsidP="00174E3E">
            <w:pPr>
              <w:spacing w:after="0" w:line="240" w:lineRule="auto"/>
              <w:ind w:firstLineChars="100" w:firstLine="220"/>
              <w:jc w:val="both"/>
              <w:rPr>
                <w:rFonts w:ascii="Calibri" w:eastAsia="Times New Roman" w:hAnsi="Calibri" w:cs="Calibri"/>
                <w:color w:val="000000"/>
              </w:rPr>
            </w:pPr>
            <w:r w:rsidRPr="00174E3E">
              <w:rPr>
                <w:rFonts w:ascii="Calibri" w:eastAsia="Times New Roman" w:hAnsi="Calibri" w:cs="Calibri"/>
                <w:color w:val="000000"/>
              </w:rPr>
              <w:t>Heavy Equipment Operation (Backhoe) NC II</w:t>
            </w:r>
          </w:p>
        </w:tc>
        <w:tc>
          <w:tcPr>
            <w:tcW w:w="1170" w:type="dxa"/>
            <w:shd w:val="clear" w:color="auto" w:fill="auto"/>
            <w:noWrap/>
            <w:vAlign w:val="bottom"/>
          </w:tcPr>
          <w:p w:rsidR="004834E6" w:rsidRPr="00174E3E" w:rsidRDefault="001B327F" w:rsidP="00174E3E">
            <w:pPr>
              <w:spacing w:after="0" w:line="240" w:lineRule="auto"/>
              <w:jc w:val="center"/>
              <w:rPr>
                <w:rFonts w:ascii="Calibri" w:eastAsia="Times New Roman" w:hAnsi="Calibri" w:cs="Calibri"/>
                <w:color w:val="000000"/>
              </w:rPr>
            </w:pPr>
            <w:r w:rsidRPr="00174E3E">
              <w:rPr>
                <w:rFonts w:ascii="Calibri" w:eastAsia="Times New Roman" w:hAnsi="Calibri" w:cs="Calibri"/>
                <w:color w:val="000000"/>
              </w:rPr>
              <w:t>613</w:t>
            </w:r>
          </w:p>
        </w:tc>
      </w:tr>
      <w:tr w:rsidR="004834E6" w:rsidRPr="00DF3598" w:rsidTr="00174E3E">
        <w:trPr>
          <w:trHeight w:val="315"/>
        </w:trPr>
        <w:tc>
          <w:tcPr>
            <w:tcW w:w="960" w:type="dxa"/>
            <w:shd w:val="clear" w:color="auto" w:fill="auto"/>
            <w:noWrap/>
            <w:vAlign w:val="bottom"/>
            <w:hideMark/>
          </w:tcPr>
          <w:p w:rsidR="004834E6" w:rsidRPr="00174E3E" w:rsidRDefault="004834E6" w:rsidP="00174E3E">
            <w:pPr>
              <w:spacing w:after="0" w:line="240" w:lineRule="auto"/>
              <w:jc w:val="center"/>
              <w:rPr>
                <w:rFonts w:ascii="Calibri" w:eastAsia="Times New Roman" w:hAnsi="Calibri" w:cs="Calibri"/>
                <w:color w:val="000000"/>
              </w:rPr>
            </w:pPr>
            <w:r w:rsidRPr="00174E3E">
              <w:rPr>
                <w:rFonts w:ascii="Calibri" w:eastAsia="Times New Roman" w:hAnsi="Calibri" w:cs="Calibri"/>
                <w:color w:val="000000"/>
              </w:rPr>
              <w:t>8</w:t>
            </w:r>
          </w:p>
        </w:tc>
        <w:tc>
          <w:tcPr>
            <w:tcW w:w="6510" w:type="dxa"/>
            <w:shd w:val="clear" w:color="000000" w:fill="auto"/>
            <w:vAlign w:val="center"/>
          </w:tcPr>
          <w:p w:rsidR="004834E6" w:rsidRPr="00174E3E" w:rsidRDefault="001B327F" w:rsidP="00174E3E">
            <w:pPr>
              <w:spacing w:after="0" w:line="240" w:lineRule="auto"/>
              <w:ind w:firstLineChars="100" w:firstLine="220"/>
              <w:jc w:val="both"/>
              <w:rPr>
                <w:rFonts w:ascii="Calibri" w:eastAsia="Times New Roman" w:hAnsi="Calibri" w:cs="Calibri"/>
                <w:color w:val="000000"/>
              </w:rPr>
            </w:pPr>
            <w:r w:rsidRPr="00174E3E">
              <w:rPr>
                <w:rFonts w:ascii="Calibri" w:eastAsia="Times New Roman" w:hAnsi="Calibri" w:cs="Calibri"/>
                <w:color w:val="000000"/>
              </w:rPr>
              <w:t>Electrical Installation and Maintenance NC II</w:t>
            </w:r>
          </w:p>
        </w:tc>
        <w:tc>
          <w:tcPr>
            <w:tcW w:w="1170" w:type="dxa"/>
            <w:shd w:val="clear" w:color="auto" w:fill="auto"/>
            <w:noWrap/>
            <w:vAlign w:val="bottom"/>
          </w:tcPr>
          <w:p w:rsidR="004834E6" w:rsidRPr="00174E3E" w:rsidRDefault="001B327F" w:rsidP="00174E3E">
            <w:pPr>
              <w:spacing w:after="0" w:line="240" w:lineRule="auto"/>
              <w:jc w:val="center"/>
              <w:rPr>
                <w:rFonts w:ascii="Calibri" w:eastAsia="Times New Roman" w:hAnsi="Calibri" w:cs="Calibri"/>
                <w:color w:val="000000"/>
              </w:rPr>
            </w:pPr>
            <w:r w:rsidRPr="00174E3E">
              <w:rPr>
                <w:rFonts w:ascii="Calibri" w:eastAsia="Times New Roman" w:hAnsi="Calibri" w:cs="Calibri"/>
                <w:color w:val="000000"/>
              </w:rPr>
              <w:t>563</w:t>
            </w:r>
          </w:p>
        </w:tc>
      </w:tr>
      <w:tr w:rsidR="004834E6" w:rsidRPr="00DF3598" w:rsidTr="00174E3E">
        <w:trPr>
          <w:trHeight w:val="315"/>
        </w:trPr>
        <w:tc>
          <w:tcPr>
            <w:tcW w:w="960" w:type="dxa"/>
            <w:shd w:val="clear" w:color="auto" w:fill="auto"/>
            <w:noWrap/>
            <w:vAlign w:val="bottom"/>
            <w:hideMark/>
          </w:tcPr>
          <w:p w:rsidR="004834E6" w:rsidRPr="00174E3E" w:rsidRDefault="004834E6" w:rsidP="00174E3E">
            <w:pPr>
              <w:spacing w:after="0" w:line="240" w:lineRule="auto"/>
              <w:jc w:val="center"/>
              <w:rPr>
                <w:rFonts w:ascii="Calibri" w:eastAsia="Times New Roman" w:hAnsi="Calibri" w:cs="Calibri"/>
                <w:color w:val="000000"/>
              </w:rPr>
            </w:pPr>
            <w:r w:rsidRPr="00174E3E">
              <w:rPr>
                <w:rFonts w:ascii="Calibri" w:eastAsia="Times New Roman" w:hAnsi="Calibri" w:cs="Calibri"/>
                <w:color w:val="000000"/>
              </w:rPr>
              <w:t>9</w:t>
            </w:r>
          </w:p>
        </w:tc>
        <w:tc>
          <w:tcPr>
            <w:tcW w:w="6510" w:type="dxa"/>
            <w:shd w:val="clear" w:color="000000" w:fill="auto"/>
            <w:vAlign w:val="center"/>
          </w:tcPr>
          <w:p w:rsidR="004834E6" w:rsidRPr="00174E3E" w:rsidRDefault="001B327F" w:rsidP="00174E3E">
            <w:pPr>
              <w:spacing w:after="0" w:line="240" w:lineRule="auto"/>
              <w:ind w:firstLineChars="100" w:firstLine="220"/>
              <w:jc w:val="both"/>
              <w:rPr>
                <w:rFonts w:ascii="Calibri" w:eastAsia="Times New Roman" w:hAnsi="Calibri" w:cs="Calibri"/>
                <w:color w:val="000000"/>
              </w:rPr>
            </w:pPr>
            <w:r w:rsidRPr="00174E3E">
              <w:rPr>
                <w:rFonts w:ascii="Calibri" w:eastAsia="Times New Roman" w:hAnsi="Calibri" w:cs="Calibri"/>
                <w:color w:val="000000"/>
              </w:rPr>
              <w:t>Automotive Servicing NC II</w:t>
            </w:r>
          </w:p>
        </w:tc>
        <w:tc>
          <w:tcPr>
            <w:tcW w:w="1170" w:type="dxa"/>
            <w:shd w:val="clear" w:color="auto" w:fill="auto"/>
            <w:noWrap/>
            <w:vAlign w:val="bottom"/>
          </w:tcPr>
          <w:p w:rsidR="004834E6" w:rsidRPr="00174E3E" w:rsidRDefault="001B327F" w:rsidP="00174E3E">
            <w:pPr>
              <w:spacing w:after="0" w:line="240" w:lineRule="auto"/>
              <w:jc w:val="center"/>
              <w:rPr>
                <w:rFonts w:ascii="Calibri" w:eastAsia="Times New Roman" w:hAnsi="Calibri" w:cs="Calibri"/>
                <w:color w:val="000000"/>
              </w:rPr>
            </w:pPr>
            <w:r w:rsidRPr="00174E3E">
              <w:rPr>
                <w:rFonts w:ascii="Calibri" w:eastAsia="Times New Roman" w:hAnsi="Calibri" w:cs="Calibri"/>
                <w:color w:val="000000"/>
              </w:rPr>
              <w:t>548</w:t>
            </w:r>
          </w:p>
        </w:tc>
      </w:tr>
      <w:tr w:rsidR="004834E6" w:rsidRPr="00DF3598" w:rsidTr="00174E3E">
        <w:trPr>
          <w:trHeight w:val="315"/>
        </w:trPr>
        <w:tc>
          <w:tcPr>
            <w:tcW w:w="960" w:type="dxa"/>
            <w:shd w:val="clear" w:color="auto" w:fill="auto"/>
            <w:noWrap/>
            <w:vAlign w:val="bottom"/>
            <w:hideMark/>
          </w:tcPr>
          <w:p w:rsidR="004834E6" w:rsidRPr="00174E3E" w:rsidRDefault="004834E6" w:rsidP="00174E3E">
            <w:pPr>
              <w:spacing w:after="0" w:line="240" w:lineRule="auto"/>
              <w:jc w:val="center"/>
              <w:rPr>
                <w:rFonts w:ascii="Calibri" w:eastAsia="Times New Roman" w:hAnsi="Calibri" w:cs="Calibri"/>
                <w:color w:val="000000"/>
              </w:rPr>
            </w:pPr>
            <w:r w:rsidRPr="00174E3E">
              <w:rPr>
                <w:rFonts w:ascii="Calibri" w:eastAsia="Times New Roman" w:hAnsi="Calibri" w:cs="Calibri"/>
                <w:color w:val="000000"/>
              </w:rPr>
              <w:t>10</w:t>
            </w:r>
          </w:p>
        </w:tc>
        <w:tc>
          <w:tcPr>
            <w:tcW w:w="6510" w:type="dxa"/>
            <w:shd w:val="clear" w:color="000000" w:fill="auto"/>
            <w:vAlign w:val="center"/>
          </w:tcPr>
          <w:p w:rsidR="004834E6" w:rsidRPr="00174E3E" w:rsidRDefault="001B327F" w:rsidP="00174E3E">
            <w:pPr>
              <w:spacing w:after="0" w:line="240" w:lineRule="auto"/>
              <w:ind w:firstLineChars="100" w:firstLine="220"/>
              <w:jc w:val="both"/>
              <w:rPr>
                <w:rFonts w:ascii="Calibri" w:eastAsia="Times New Roman" w:hAnsi="Calibri" w:cs="Calibri"/>
                <w:color w:val="000000"/>
              </w:rPr>
            </w:pPr>
            <w:r w:rsidRPr="00174E3E">
              <w:rPr>
                <w:rFonts w:ascii="Calibri" w:eastAsia="Times New Roman" w:hAnsi="Calibri" w:cs="Calibri"/>
                <w:color w:val="000000"/>
              </w:rPr>
              <w:t>Heavy Equipment Operation (Rigid On-Highway Dump Truck)</w:t>
            </w:r>
            <w:r w:rsidR="00D25EA4" w:rsidRPr="00174E3E">
              <w:rPr>
                <w:rFonts w:ascii="Calibri" w:eastAsia="Times New Roman" w:hAnsi="Calibri" w:cs="Calibri"/>
                <w:color w:val="000000"/>
              </w:rPr>
              <w:t xml:space="preserve"> NC II</w:t>
            </w:r>
          </w:p>
        </w:tc>
        <w:tc>
          <w:tcPr>
            <w:tcW w:w="1170" w:type="dxa"/>
            <w:shd w:val="clear" w:color="auto" w:fill="auto"/>
            <w:noWrap/>
            <w:vAlign w:val="bottom"/>
          </w:tcPr>
          <w:p w:rsidR="004834E6" w:rsidRPr="00174E3E" w:rsidRDefault="00D25EA4" w:rsidP="00174E3E">
            <w:pPr>
              <w:spacing w:after="0" w:line="240" w:lineRule="auto"/>
              <w:jc w:val="center"/>
              <w:rPr>
                <w:rFonts w:ascii="Calibri" w:eastAsia="Times New Roman" w:hAnsi="Calibri" w:cs="Calibri"/>
                <w:color w:val="000000"/>
              </w:rPr>
            </w:pPr>
            <w:r w:rsidRPr="00174E3E">
              <w:rPr>
                <w:rFonts w:ascii="Calibri" w:eastAsia="Times New Roman" w:hAnsi="Calibri" w:cs="Calibri"/>
                <w:color w:val="000000"/>
              </w:rPr>
              <w:t>461</w:t>
            </w:r>
          </w:p>
        </w:tc>
      </w:tr>
    </w:tbl>
    <w:p w:rsidR="004834E6" w:rsidRPr="00DF3598" w:rsidRDefault="004834E6" w:rsidP="004834E6">
      <w:pPr>
        <w:spacing w:after="0" w:line="240" w:lineRule="auto"/>
        <w:jc w:val="both"/>
        <w:rPr>
          <w:sz w:val="24"/>
          <w:szCs w:val="24"/>
        </w:rPr>
      </w:pPr>
    </w:p>
    <w:p w:rsidR="004834E6" w:rsidRPr="00DF3598" w:rsidRDefault="004834E6" w:rsidP="004834E6">
      <w:pPr>
        <w:spacing w:after="0" w:line="240" w:lineRule="auto"/>
        <w:jc w:val="both"/>
        <w:rPr>
          <w:sz w:val="24"/>
          <w:szCs w:val="24"/>
        </w:rPr>
      </w:pPr>
    </w:p>
    <w:p w:rsidR="004834E6" w:rsidRPr="00DF3598" w:rsidRDefault="004834E6" w:rsidP="004834E6">
      <w:pPr>
        <w:spacing w:after="0" w:line="240" w:lineRule="auto"/>
        <w:jc w:val="both"/>
        <w:rPr>
          <w:sz w:val="24"/>
          <w:szCs w:val="24"/>
        </w:rPr>
      </w:pPr>
      <w:r w:rsidRPr="00DF3598">
        <w:rPr>
          <w:sz w:val="24"/>
          <w:szCs w:val="24"/>
        </w:rPr>
        <w:tab/>
        <w:t xml:space="preserve">In 2016, top ten registered programs were Food and Beverage Services NC II, Housekeeping NC II, SMAW NC II, Bread and Pastry Production NC II, Computer Systems Servicing NC II, Electronics Products Assembly and Servicing NC II, Cookery NC II, Driving NC II, Motorcycle/Small Engine Servicing NC II, SMAW NC II, Caregiving NC II, Electrical Installation and Maintenance NC II, Health Care Services NC II, Automotive Servicing NC I, Automotive Servicing NC II, </w:t>
      </w:r>
      <w:r w:rsidR="005B29D9" w:rsidRPr="00DF3598">
        <w:rPr>
          <w:sz w:val="24"/>
          <w:szCs w:val="24"/>
        </w:rPr>
        <w:t xml:space="preserve">Bookkeeping NC III, Events Management Services NC III, and Gas Tungsten Arc Welding NC II.  (Table </w:t>
      </w:r>
      <w:r w:rsidR="00174E3E">
        <w:rPr>
          <w:sz w:val="24"/>
          <w:szCs w:val="24"/>
        </w:rPr>
        <w:t>5</w:t>
      </w:r>
      <w:r w:rsidR="005B29D9" w:rsidRPr="00DF3598">
        <w:rPr>
          <w:sz w:val="24"/>
          <w:szCs w:val="24"/>
        </w:rPr>
        <w:t>. Top Ten Registered Programs, CY 2016)</w:t>
      </w:r>
    </w:p>
    <w:p w:rsidR="004834E6" w:rsidRPr="00DF3598" w:rsidRDefault="004834E6" w:rsidP="004834E6">
      <w:pPr>
        <w:spacing w:after="0" w:line="240" w:lineRule="auto"/>
        <w:jc w:val="both"/>
        <w:rPr>
          <w:sz w:val="24"/>
          <w:szCs w:val="24"/>
        </w:rPr>
      </w:pPr>
    </w:p>
    <w:p w:rsidR="009D7CA8" w:rsidRPr="00A759C6" w:rsidRDefault="007C1F45" w:rsidP="004834E6">
      <w:pPr>
        <w:spacing w:after="0" w:line="240" w:lineRule="auto"/>
        <w:jc w:val="center"/>
        <w:rPr>
          <w:b/>
          <w:sz w:val="24"/>
          <w:szCs w:val="24"/>
        </w:rPr>
      </w:pPr>
      <w:r w:rsidRPr="00A759C6">
        <w:rPr>
          <w:b/>
          <w:sz w:val="24"/>
          <w:szCs w:val="24"/>
        </w:rPr>
        <w:t xml:space="preserve">Table </w:t>
      </w:r>
      <w:r w:rsidR="00A759C6" w:rsidRPr="00A759C6">
        <w:rPr>
          <w:b/>
          <w:sz w:val="24"/>
          <w:szCs w:val="24"/>
        </w:rPr>
        <w:t>7</w:t>
      </w:r>
      <w:r w:rsidRPr="00A759C6">
        <w:rPr>
          <w:b/>
          <w:sz w:val="24"/>
          <w:szCs w:val="24"/>
        </w:rPr>
        <w:t xml:space="preserve">. </w:t>
      </w:r>
      <w:r w:rsidR="009D7CA8" w:rsidRPr="00A759C6">
        <w:rPr>
          <w:b/>
          <w:sz w:val="24"/>
          <w:szCs w:val="24"/>
        </w:rPr>
        <w:t>Top Ten Registered Programs</w:t>
      </w:r>
    </w:p>
    <w:p w:rsidR="009D7CA8" w:rsidRPr="00A759C6" w:rsidRDefault="009D7CA8" w:rsidP="004834E6">
      <w:pPr>
        <w:spacing w:after="0" w:line="240" w:lineRule="auto"/>
        <w:jc w:val="center"/>
        <w:rPr>
          <w:b/>
          <w:sz w:val="24"/>
          <w:szCs w:val="24"/>
        </w:rPr>
      </w:pPr>
      <w:r w:rsidRPr="00A759C6">
        <w:rPr>
          <w:b/>
          <w:sz w:val="24"/>
          <w:szCs w:val="24"/>
        </w:rPr>
        <w:t>CY 2016</w:t>
      </w:r>
    </w:p>
    <w:p w:rsidR="00AB6650" w:rsidRPr="00DF3598" w:rsidRDefault="00AB6650" w:rsidP="004834E6">
      <w:pPr>
        <w:tabs>
          <w:tab w:val="left" w:pos="5175"/>
        </w:tabs>
        <w:spacing w:after="0" w:line="240" w:lineRule="auto"/>
        <w:jc w:val="both"/>
        <w:rPr>
          <w:sz w:val="24"/>
          <w:szCs w:val="24"/>
        </w:rPr>
      </w:pPr>
      <w:r w:rsidRPr="00DF3598">
        <w:rPr>
          <w:sz w:val="24"/>
          <w:szCs w:val="24"/>
        </w:rPr>
        <w:tab/>
      </w:r>
    </w:p>
    <w:tbl>
      <w:tblPr>
        <w:tblStyle w:val="TableGrid"/>
        <w:tblW w:w="7740" w:type="dxa"/>
        <w:tblInd w:w="918" w:type="dxa"/>
        <w:tblLook w:val="04A0" w:firstRow="1" w:lastRow="0" w:firstColumn="1" w:lastColumn="0" w:noHBand="0" w:noVBand="1"/>
      </w:tblPr>
      <w:tblGrid>
        <w:gridCol w:w="1638"/>
        <w:gridCol w:w="4932"/>
        <w:gridCol w:w="1170"/>
      </w:tblGrid>
      <w:tr w:rsidR="00AB6650" w:rsidRPr="00DF3598" w:rsidTr="00994671">
        <w:tc>
          <w:tcPr>
            <w:tcW w:w="1638" w:type="dxa"/>
          </w:tcPr>
          <w:p w:rsidR="00AB6650" w:rsidRPr="00DF3598" w:rsidRDefault="00AB6650" w:rsidP="00994671">
            <w:pPr>
              <w:tabs>
                <w:tab w:val="left" w:pos="5175"/>
              </w:tabs>
              <w:jc w:val="center"/>
              <w:rPr>
                <w:sz w:val="24"/>
                <w:szCs w:val="24"/>
              </w:rPr>
            </w:pPr>
            <w:r w:rsidRPr="00DF3598">
              <w:rPr>
                <w:sz w:val="24"/>
                <w:szCs w:val="24"/>
              </w:rPr>
              <w:t>Rank</w:t>
            </w:r>
          </w:p>
        </w:tc>
        <w:tc>
          <w:tcPr>
            <w:tcW w:w="4932" w:type="dxa"/>
          </w:tcPr>
          <w:p w:rsidR="00AB6650" w:rsidRPr="00DF3598" w:rsidRDefault="00AB6650" w:rsidP="004834E6">
            <w:pPr>
              <w:tabs>
                <w:tab w:val="left" w:pos="5175"/>
              </w:tabs>
              <w:jc w:val="both"/>
              <w:rPr>
                <w:sz w:val="24"/>
                <w:szCs w:val="24"/>
              </w:rPr>
            </w:pPr>
            <w:r w:rsidRPr="00DF3598">
              <w:rPr>
                <w:sz w:val="24"/>
                <w:szCs w:val="24"/>
              </w:rPr>
              <w:t>Programs</w:t>
            </w:r>
          </w:p>
        </w:tc>
        <w:tc>
          <w:tcPr>
            <w:tcW w:w="1170" w:type="dxa"/>
          </w:tcPr>
          <w:p w:rsidR="00AB6650" w:rsidRPr="00DF3598" w:rsidRDefault="00AB6650" w:rsidP="00994671">
            <w:pPr>
              <w:tabs>
                <w:tab w:val="left" w:pos="5175"/>
              </w:tabs>
              <w:jc w:val="center"/>
              <w:rPr>
                <w:sz w:val="24"/>
                <w:szCs w:val="24"/>
              </w:rPr>
            </w:pPr>
            <w:r w:rsidRPr="00DF3598">
              <w:rPr>
                <w:sz w:val="24"/>
                <w:szCs w:val="24"/>
              </w:rPr>
              <w:t>Number</w:t>
            </w:r>
          </w:p>
        </w:tc>
      </w:tr>
      <w:tr w:rsidR="00AB6650" w:rsidRPr="00DF3598" w:rsidTr="00994671">
        <w:tc>
          <w:tcPr>
            <w:tcW w:w="1638" w:type="dxa"/>
          </w:tcPr>
          <w:p w:rsidR="00AB6650" w:rsidRPr="00DF3598" w:rsidRDefault="00AB6650" w:rsidP="00994671">
            <w:pPr>
              <w:jc w:val="center"/>
              <w:rPr>
                <w:rFonts w:asciiTheme="minorHAnsi" w:eastAsia="Times New Roman" w:hAnsiTheme="minorHAnsi" w:cstheme="minorHAnsi"/>
                <w:sz w:val="24"/>
                <w:szCs w:val="24"/>
              </w:rPr>
            </w:pPr>
            <w:r w:rsidRPr="00DF3598">
              <w:rPr>
                <w:rFonts w:asciiTheme="minorHAnsi" w:eastAsia="Times New Roman" w:hAnsiTheme="minorHAnsi" w:cstheme="minorHAnsi"/>
                <w:kern w:val="24"/>
                <w:sz w:val="24"/>
                <w:szCs w:val="24"/>
              </w:rPr>
              <w:t>1</w:t>
            </w:r>
          </w:p>
        </w:tc>
        <w:tc>
          <w:tcPr>
            <w:tcW w:w="4932" w:type="dxa"/>
          </w:tcPr>
          <w:p w:rsidR="00AB6650" w:rsidRPr="00DF3598" w:rsidRDefault="00AB6650" w:rsidP="004834E6">
            <w:pPr>
              <w:tabs>
                <w:tab w:val="left" w:pos="5175"/>
              </w:tabs>
              <w:jc w:val="both"/>
              <w:rPr>
                <w:sz w:val="24"/>
                <w:szCs w:val="24"/>
              </w:rPr>
            </w:pPr>
            <w:r w:rsidRPr="00DF3598">
              <w:rPr>
                <w:rFonts w:asciiTheme="minorHAnsi" w:eastAsia="Times New Roman" w:hAnsiTheme="minorHAnsi" w:cstheme="minorHAnsi"/>
                <w:kern w:val="24"/>
                <w:sz w:val="24"/>
                <w:szCs w:val="24"/>
              </w:rPr>
              <w:t>Food and Beverage Services NC II</w:t>
            </w:r>
          </w:p>
        </w:tc>
        <w:tc>
          <w:tcPr>
            <w:tcW w:w="1170" w:type="dxa"/>
            <w:vAlign w:val="center"/>
          </w:tcPr>
          <w:p w:rsidR="00AB6650" w:rsidRPr="00DF3598" w:rsidRDefault="00AB6650" w:rsidP="00994671">
            <w:pPr>
              <w:jc w:val="center"/>
              <w:rPr>
                <w:rFonts w:asciiTheme="minorHAnsi" w:eastAsia="Times New Roman" w:hAnsiTheme="minorHAnsi" w:cstheme="minorHAnsi"/>
                <w:sz w:val="24"/>
                <w:szCs w:val="24"/>
              </w:rPr>
            </w:pPr>
            <w:r w:rsidRPr="00DF3598">
              <w:rPr>
                <w:rFonts w:asciiTheme="minorHAnsi" w:eastAsia="Times New Roman" w:hAnsiTheme="minorHAnsi" w:cstheme="minorHAnsi"/>
                <w:kern w:val="24"/>
                <w:sz w:val="24"/>
                <w:szCs w:val="24"/>
              </w:rPr>
              <w:t>22</w:t>
            </w:r>
          </w:p>
        </w:tc>
      </w:tr>
      <w:tr w:rsidR="00AB6650" w:rsidRPr="00DF3598" w:rsidTr="00994671">
        <w:tc>
          <w:tcPr>
            <w:tcW w:w="1638" w:type="dxa"/>
          </w:tcPr>
          <w:p w:rsidR="00AB6650" w:rsidRPr="00DF3598" w:rsidRDefault="00AB6650" w:rsidP="00994671">
            <w:pPr>
              <w:jc w:val="center"/>
              <w:rPr>
                <w:rFonts w:asciiTheme="minorHAnsi" w:eastAsia="Times New Roman" w:hAnsiTheme="minorHAnsi" w:cstheme="minorHAnsi"/>
                <w:sz w:val="24"/>
                <w:szCs w:val="24"/>
              </w:rPr>
            </w:pPr>
            <w:r w:rsidRPr="00DF3598">
              <w:rPr>
                <w:rFonts w:asciiTheme="minorHAnsi" w:eastAsia="Times New Roman" w:hAnsiTheme="minorHAnsi" w:cstheme="minorHAnsi"/>
                <w:kern w:val="24"/>
                <w:sz w:val="24"/>
                <w:szCs w:val="24"/>
              </w:rPr>
              <w:t>2</w:t>
            </w:r>
          </w:p>
        </w:tc>
        <w:tc>
          <w:tcPr>
            <w:tcW w:w="4932" w:type="dxa"/>
          </w:tcPr>
          <w:p w:rsidR="00AB6650" w:rsidRPr="00DF3598" w:rsidRDefault="00AB6650" w:rsidP="004834E6">
            <w:pPr>
              <w:jc w:val="both"/>
              <w:rPr>
                <w:rFonts w:asciiTheme="minorHAnsi" w:eastAsia="Times New Roman" w:hAnsiTheme="minorHAnsi" w:cstheme="minorHAnsi"/>
                <w:sz w:val="24"/>
                <w:szCs w:val="24"/>
              </w:rPr>
            </w:pPr>
            <w:r w:rsidRPr="00DF3598">
              <w:rPr>
                <w:rFonts w:asciiTheme="minorHAnsi" w:eastAsia="Times New Roman" w:hAnsiTheme="minorHAnsi" w:cstheme="minorHAnsi"/>
                <w:kern w:val="24"/>
                <w:sz w:val="24"/>
                <w:szCs w:val="24"/>
              </w:rPr>
              <w:t>Housekeeping NC II</w:t>
            </w:r>
          </w:p>
        </w:tc>
        <w:tc>
          <w:tcPr>
            <w:tcW w:w="1170" w:type="dxa"/>
            <w:vAlign w:val="center"/>
          </w:tcPr>
          <w:p w:rsidR="00AB6650" w:rsidRPr="00DF3598" w:rsidRDefault="00AB6650" w:rsidP="00994671">
            <w:pPr>
              <w:jc w:val="center"/>
              <w:rPr>
                <w:rFonts w:asciiTheme="minorHAnsi" w:eastAsia="Times New Roman" w:hAnsiTheme="minorHAnsi" w:cstheme="minorHAnsi"/>
                <w:sz w:val="24"/>
                <w:szCs w:val="24"/>
              </w:rPr>
            </w:pPr>
            <w:r w:rsidRPr="00DF3598">
              <w:rPr>
                <w:rFonts w:asciiTheme="minorHAnsi" w:eastAsia="Times New Roman" w:hAnsiTheme="minorHAnsi" w:cstheme="minorHAnsi"/>
                <w:kern w:val="24"/>
                <w:sz w:val="24"/>
                <w:szCs w:val="24"/>
              </w:rPr>
              <w:t>20</w:t>
            </w:r>
          </w:p>
        </w:tc>
      </w:tr>
      <w:tr w:rsidR="00AB6650" w:rsidRPr="00DF3598" w:rsidTr="00994671">
        <w:tc>
          <w:tcPr>
            <w:tcW w:w="1638" w:type="dxa"/>
          </w:tcPr>
          <w:p w:rsidR="00AB6650" w:rsidRPr="00DF3598" w:rsidRDefault="00AB6650" w:rsidP="00994671">
            <w:pPr>
              <w:spacing w:line="256" w:lineRule="atLeast"/>
              <w:jc w:val="center"/>
              <w:rPr>
                <w:rFonts w:asciiTheme="minorHAnsi" w:eastAsia="Times New Roman" w:hAnsiTheme="minorHAnsi" w:cstheme="minorHAnsi"/>
                <w:sz w:val="24"/>
                <w:szCs w:val="24"/>
              </w:rPr>
            </w:pPr>
            <w:r w:rsidRPr="00DF3598">
              <w:rPr>
                <w:rFonts w:asciiTheme="minorHAnsi" w:eastAsia="Times New Roman" w:hAnsiTheme="minorHAnsi" w:cstheme="minorHAnsi"/>
                <w:kern w:val="24"/>
                <w:sz w:val="24"/>
                <w:szCs w:val="24"/>
              </w:rPr>
              <w:t>3</w:t>
            </w:r>
          </w:p>
        </w:tc>
        <w:tc>
          <w:tcPr>
            <w:tcW w:w="4932" w:type="dxa"/>
          </w:tcPr>
          <w:p w:rsidR="00AB6650" w:rsidRPr="00DF3598" w:rsidRDefault="00AB6650" w:rsidP="004834E6">
            <w:pPr>
              <w:spacing w:line="256" w:lineRule="atLeast"/>
              <w:jc w:val="both"/>
              <w:rPr>
                <w:rFonts w:asciiTheme="minorHAnsi" w:eastAsia="Times New Roman" w:hAnsiTheme="minorHAnsi" w:cstheme="minorHAnsi"/>
                <w:sz w:val="24"/>
                <w:szCs w:val="24"/>
              </w:rPr>
            </w:pPr>
            <w:r w:rsidRPr="00DF3598">
              <w:rPr>
                <w:rFonts w:asciiTheme="minorHAnsi" w:eastAsia="Times New Roman" w:hAnsiTheme="minorHAnsi" w:cstheme="minorHAnsi"/>
                <w:kern w:val="24"/>
                <w:sz w:val="24"/>
                <w:szCs w:val="24"/>
              </w:rPr>
              <w:t>Shielded Metal Arc Welding NC II</w:t>
            </w:r>
          </w:p>
        </w:tc>
        <w:tc>
          <w:tcPr>
            <w:tcW w:w="1170" w:type="dxa"/>
            <w:vAlign w:val="center"/>
          </w:tcPr>
          <w:p w:rsidR="00AB6650" w:rsidRPr="00DF3598" w:rsidRDefault="00AB6650" w:rsidP="00994671">
            <w:pPr>
              <w:spacing w:line="256" w:lineRule="atLeast"/>
              <w:jc w:val="center"/>
              <w:rPr>
                <w:rFonts w:asciiTheme="minorHAnsi" w:eastAsia="Times New Roman" w:hAnsiTheme="minorHAnsi" w:cstheme="minorHAnsi"/>
                <w:sz w:val="24"/>
                <w:szCs w:val="24"/>
              </w:rPr>
            </w:pPr>
            <w:r w:rsidRPr="00DF3598">
              <w:rPr>
                <w:rFonts w:asciiTheme="minorHAnsi" w:eastAsia="Times New Roman" w:hAnsiTheme="minorHAnsi" w:cstheme="minorHAnsi"/>
                <w:kern w:val="24"/>
                <w:sz w:val="24"/>
                <w:szCs w:val="24"/>
              </w:rPr>
              <w:t>19</w:t>
            </w:r>
          </w:p>
        </w:tc>
      </w:tr>
      <w:tr w:rsidR="00AB6650" w:rsidRPr="00DF3598" w:rsidTr="00994671">
        <w:tc>
          <w:tcPr>
            <w:tcW w:w="1638" w:type="dxa"/>
          </w:tcPr>
          <w:p w:rsidR="00AB6650" w:rsidRPr="00DF3598" w:rsidRDefault="00AB6650" w:rsidP="00994671">
            <w:pPr>
              <w:jc w:val="center"/>
              <w:rPr>
                <w:rFonts w:asciiTheme="minorHAnsi" w:eastAsia="Times New Roman" w:hAnsiTheme="minorHAnsi" w:cstheme="minorHAnsi"/>
                <w:sz w:val="24"/>
                <w:szCs w:val="24"/>
              </w:rPr>
            </w:pPr>
            <w:r w:rsidRPr="00DF3598">
              <w:rPr>
                <w:rFonts w:asciiTheme="minorHAnsi" w:eastAsia="Times New Roman" w:hAnsiTheme="minorHAnsi" w:cstheme="minorHAnsi"/>
                <w:kern w:val="24"/>
                <w:sz w:val="24"/>
                <w:szCs w:val="24"/>
              </w:rPr>
              <w:t>4</w:t>
            </w:r>
          </w:p>
        </w:tc>
        <w:tc>
          <w:tcPr>
            <w:tcW w:w="4932" w:type="dxa"/>
          </w:tcPr>
          <w:p w:rsidR="00AB6650" w:rsidRPr="00DF3598" w:rsidRDefault="00AB6650" w:rsidP="004834E6">
            <w:pPr>
              <w:jc w:val="both"/>
              <w:rPr>
                <w:rFonts w:asciiTheme="minorHAnsi" w:eastAsia="Times New Roman" w:hAnsiTheme="minorHAnsi" w:cstheme="minorHAnsi"/>
                <w:sz w:val="24"/>
                <w:szCs w:val="24"/>
              </w:rPr>
            </w:pPr>
            <w:r w:rsidRPr="00DF3598">
              <w:rPr>
                <w:rFonts w:asciiTheme="minorHAnsi" w:eastAsia="Times New Roman" w:hAnsiTheme="minorHAnsi" w:cstheme="minorHAnsi"/>
                <w:kern w:val="24"/>
                <w:sz w:val="24"/>
                <w:szCs w:val="24"/>
              </w:rPr>
              <w:t>Bread and Pastry Production NC II</w:t>
            </w:r>
          </w:p>
        </w:tc>
        <w:tc>
          <w:tcPr>
            <w:tcW w:w="1170" w:type="dxa"/>
            <w:vAlign w:val="center"/>
          </w:tcPr>
          <w:p w:rsidR="00AB6650" w:rsidRPr="00DF3598" w:rsidRDefault="00AB6650" w:rsidP="00994671">
            <w:pPr>
              <w:jc w:val="center"/>
              <w:rPr>
                <w:rFonts w:asciiTheme="minorHAnsi" w:eastAsia="Times New Roman" w:hAnsiTheme="minorHAnsi" w:cstheme="minorHAnsi"/>
                <w:sz w:val="24"/>
                <w:szCs w:val="24"/>
              </w:rPr>
            </w:pPr>
            <w:r w:rsidRPr="00DF3598">
              <w:rPr>
                <w:rFonts w:asciiTheme="minorHAnsi" w:eastAsia="Times New Roman" w:hAnsiTheme="minorHAnsi" w:cstheme="minorHAnsi"/>
                <w:kern w:val="24"/>
                <w:sz w:val="24"/>
                <w:szCs w:val="24"/>
              </w:rPr>
              <w:t>17</w:t>
            </w:r>
          </w:p>
        </w:tc>
      </w:tr>
      <w:tr w:rsidR="00AB6650" w:rsidRPr="00DF3598" w:rsidTr="00994671">
        <w:tc>
          <w:tcPr>
            <w:tcW w:w="1638" w:type="dxa"/>
          </w:tcPr>
          <w:p w:rsidR="00AB6650" w:rsidRPr="00DF3598" w:rsidRDefault="00AB6650" w:rsidP="00994671">
            <w:pPr>
              <w:jc w:val="center"/>
              <w:rPr>
                <w:rFonts w:asciiTheme="minorHAnsi" w:eastAsia="Times New Roman" w:hAnsiTheme="minorHAnsi" w:cstheme="minorHAnsi"/>
                <w:sz w:val="24"/>
                <w:szCs w:val="24"/>
              </w:rPr>
            </w:pPr>
            <w:r w:rsidRPr="00DF3598">
              <w:rPr>
                <w:rFonts w:asciiTheme="minorHAnsi" w:eastAsia="Times New Roman" w:hAnsiTheme="minorHAnsi" w:cstheme="minorHAnsi"/>
                <w:kern w:val="24"/>
                <w:sz w:val="24"/>
                <w:szCs w:val="24"/>
              </w:rPr>
              <w:t>5</w:t>
            </w:r>
          </w:p>
        </w:tc>
        <w:tc>
          <w:tcPr>
            <w:tcW w:w="4932" w:type="dxa"/>
          </w:tcPr>
          <w:p w:rsidR="00AB6650" w:rsidRPr="00DF3598" w:rsidRDefault="00AB6650" w:rsidP="004834E6">
            <w:pPr>
              <w:jc w:val="both"/>
              <w:rPr>
                <w:rFonts w:asciiTheme="minorHAnsi" w:eastAsia="Times New Roman" w:hAnsiTheme="minorHAnsi" w:cstheme="minorHAnsi"/>
                <w:sz w:val="24"/>
                <w:szCs w:val="24"/>
              </w:rPr>
            </w:pPr>
            <w:r w:rsidRPr="00DF3598">
              <w:rPr>
                <w:rFonts w:asciiTheme="minorHAnsi" w:eastAsia="Times New Roman" w:hAnsiTheme="minorHAnsi" w:cstheme="minorHAnsi"/>
                <w:kern w:val="24"/>
                <w:sz w:val="24"/>
                <w:szCs w:val="24"/>
              </w:rPr>
              <w:t>Computer Systems Servicing NC II</w:t>
            </w:r>
          </w:p>
        </w:tc>
        <w:tc>
          <w:tcPr>
            <w:tcW w:w="1170" w:type="dxa"/>
            <w:vAlign w:val="center"/>
          </w:tcPr>
          <w:p w:rsidR="00AB6650" w:rsidRPr="00DF3598" w:rsidRDefault="00AB6650" w:rsidP="00994671">
            <w:pPr>
              <w:jc w:val="center"/>
              <w:rPr>
                <w:rFonts w:asciiTheme="minorHAnsi" w:eastAsia="Times New Roman" w:hAnsiTheme="minorHAnsi" w:cstheme="minorHAnsi"/>
                <w:sz w:val="24"/>
                <w:szCs w:val="24"/>
              </w:rPr>
            </w:pPr>
            <w:r w:rsidRPr="00DF3598">
              <w:rPr>
                <w:rFonts w:asciiTheme="minorHAnsi" w:eastAsia="Times New Roman" w:hAnsiTheme="minorHAnsi" w:cstheme="minorHAnsi"/>
                <w:kern w:val="24"/>
                <w:sz w:val="24"/>
                <w:szCs w:val="24"/>
              </w:rPr>
              <w:t>16</w:t>
            </w:r>
          </w:p>
        </w:tc>
      </w:tr>
      <w:tr w:rsidR="00AB6650" w:rsidRPr="00DF3598" w:rsidTr="00994671">
        <w:tc>
          <w:tcPr>
            <w:tcW w:w="1638" w:type="dxa"/>
          </w:tcPr>
          <w:p w:rsidR="00AB6650" w:rsidRPr="00DF3598" w:rsidRDefault="00AB6650" w:rsidP="00994671">
            <w:pPr>
              <w:jc w:val="center"/>
              <w:rPr>
                <w:rFonts w:asciiTheme="minorHAnsi" w:eastAsia="Times New Roman" w:hAnsiTheme="minorHAnsi" w:cstheme="minorHAnsi"/>
                <w:sz w:val="24"/>
                <w:szCs w:val="24"/>
              </w:rPr>
            </w:pPr>
            <w:r w:rsidRPr="00DF3598">
              <w:rPr>
                <w:rFonts w:asciiTheme="minorHAnsi" w:eastAsia="Times New Roman" w:hAnsiTheme="minorHAnsi" w:cstheme="minorHAnsi"/>
                <w:kern w:val="24"/>
                <w:sz w:val="24"/>
                <w:szCs w:val="24"/>
              </w:rPr>
              <w:t>6</w:t>
            </w:r>
          </w:p>
        </w:tc>
        <w:tc>
          <w:tcPr>
            <w:tcW w:w="4932" w:type="dxa"/>
          </w:tcPr>
          <w:p w:rsidR="00AB6650" w:rsidRPr="00DF3598" w:rsidRDefault="00AB6650" w:rsidP="004834E6">
            <w:pPr>
              <w:jc w:val="both"/>
              <w:rPr>
                <w:rFonts w:asciiTheme="minorHAnsi" w:eastAsia="Times New Roman" w:hAnsiTheme="minorHAnsi" w:cstheme="minorHAnsi"/>
                <w:sz w:val="24"/>
                <w:szCs w:val="24"/>
              </w:rPr>
            </w:pPr>
            <w:r w:rsidRPr="00DF3598">
              <w:rPr>
                <w:rFonts w:asciiTheme="minorHAnsi" w:eastAsia="Times New Roman" w:hAnsiTheme="minorHAnsi" w:cstheme="minorHAnsi"/>
                <w:kern w:val="24"/>
                <w:sz w:val="24"/>
                <w:szCs w:val="24"/>
              </w:rPr>
              <w:t xml:space="preserve">Electronics Products Assembly and Servicing NC II </w:t>
            </w:r>
          </w:p>
        </w:tc>
        <w:tc>
          <w:tcPr>
            <w:tcW w:w="1170" w:type="dxa"/>
            <w:vAlign w:val="center"/>
          </w:tcPr>
          <w:p w:rsidR="00AB6650" w:rsidRPr="00DF3598" w:rsidRDefault="00AB6650" w:rsidP="00994671">
            <w:pPr>
              <w:jc w:val="center"/>
              <w:rPr>
                <w:rFonts w:asciiTheme="minorHAnsi" w:eastAsia="Times New Roman" w:hAnsiTheme="minorHAnsi" w:cstheme="minorHAnsi"/>
                <w:sz w:val="24"/>
                <w:szCs w:val="24"/>
              </w:rPr>
            </w:pPr>
            <w:r w:rsidRPr="00DF3598">
              <w:rPr>
                <w:rFonts w:asciiTheme="minorHAnsi" w:eastAsia="Times New Roman" w:hAnsiTheme="minorHAnsi" w:cstheme="minorHAnsi"/>
                <w:kern w:val="24"/>
                <w:sz w:val="24"/>
                <w:szCs w:val="24"/>
              </w:rPr>
              <w:t>14</w:t>
            </w:r>
          </w:p>
        </w:tc>
      </w:tr>
      <w:tr w:rsidR="00AB6650" w:rsidRPr="00DF3598" w:rsidTr="00994671">
        <w:tc>
          <w:tcPr>
            <w:tcW w:w="1638" w:type="dxa"/>
          </w:tcPr>
          <w:p w:rsidR="00AB6650" w:rsidRPr="00DF3598" w:rsidRDefault="00AB6650" w:rsidP="00994671">
            <w:pPr>
              <w:spacing w:line="256" w:lineRule="atLeast"/>
              <w:jc w:val="center"/>
              <w:rPr>
                <w:rFonts w:asciiTheme="minorHAnsi" w:eastAsia="Times New Roman" w:hAnsiTheme="minorHAnsi" w:cstheme="minorHAnsi"/>
                <w:sz w:val="24"/>
                <w:szCs w:val="24"/>
              </w:rPr>
            </w:pPr>
            <w:r w:rsidRPr="00DF3598">
              <w:rPr>
                <w:rFonts w:asciiTheme="minorHAnsi" w:eastAsia="Times New Roman" w:hAnsiTheme="minorHAnsi" w:cstheme="minorHAnsi"/>
                <w:kern w:val="24"/>
                <w:sz w:val="24"/>
                <w:szCs w:val="24"/>
              </w:rPr>
              <w:t>7</w:t>
            </w:r>
          </w:p>
        </w:tc>
        <w:tc>
          <w:tcPr>
            <w:tcW w:w="4932" w:type="dxa"/>
          </w:tcPr>
          <w:p w:rsidR="00AB6650" w:rsidRPr="00DF3598" w:rsidRDefault="00AB6650" w:rsidP="004834E6">
            <w:pPr>
              <w:spacing w:line="256" w:lineRule="atLeast"/>
              <w:jc w:val="both"/>
              <w:rPr>
                <w:rFonts w:asciiTheme="minorHAnsi" w:eastAsia="Times New Roman" w:hAnsiTheme="minorHAnsi" w:cstheme="minorHAnsi"/>
                <w:sz w:val="24"/>
                <w:szCs w:val="24"/>
              </w:rPr>
            </w:pPr>
            <w:r w:rsidRPr="00DF3598">
              <w:rPr>
                <w:rFonts w:asciiTheme="minorHAnsi" w:eastAsia="Times New Roman" w:hAnsiTheme="minorHAnsi" w:cstheme="minorHAnsi"/>
                <w:kern w:val="24"/>
                <w:sz w:val="24"/>
                <w:szCs w:val="24"/>
              </w:rPr>
              <w:t>Cookery NC II</w:t>
            </w:r>
          </w:p>
        </w:tc>
        <w:tc>
          <w:tcPr>
            <w:tcW w:w="1170" w:type="dxa"/>
            <w:vAlign w:val="center"/>
          </w:tcPr>
          <w:p w:rsidR="00AB6650" w:rsidRPr="00DF3598" w:rsidRDefault="00AB6650" w:rsidP="00994671">
            <w:pPr>
              <w:spacing w:line="256" w:lineRule="atLeast"/>
              <w:jc w:val="center"/>
              <w:rPr>
                <w:rFonts w:asciiTheme="minorHAnsi" w:eastAsia="Times New Roman" w:hAnsiTheme="minorHAnsi" w:cstheme="minorHAnsi"/>
                <w:sz w:val="24"/>
                <w:szCs w:val="24"/>
              </w:rPr>
            </w:pPr>
            <w:r w:rsidRPr="00DF3598">
              <w:rPr>
                <w:rFonts w:asciiTheme="minorHAnsi" w:eastAsia="Times New Roman" w:hAnsiTheme="minorHAnsi" w:cstheme="minorHAnsi"/>
                <w:kern w:val="24"/>
                <w:sz w:val="24"/>
                <w:szCs w:val="24"/>
              </w:rPr>
              <w:t>12</w:t>
            </w:r>
          </w:p>
        </w:tc>
      </w:tr>
      <w:tr w:rsidR="00AB6650" w:rsidRPr="00DF3598" w:rsidTr="00994671">
        <w:tc>
          <w:tcPr>
            <w:tcW w:w="1638" w:type="dxa"/>
          </w:tcPr>
          <w:p w:rsidR="00AB6650" w:rsidRPr="00DF3598" w:rsidRDefault="00AB6650" w:rsidP="00994671">
            <w:pPr>
              <w:jc w:val="center"/>
              <w:rPr>
                <w:rFonts w:asciiTheme="minorHAnsi" w:eastAsia="Times New Roman" w:hAnsiTheme="minorHAnsi" w:cstheme="minorHAnsi"/>
                <w:sz w:val="24"/>
                <w:szCs w:val="24"/>
              </w:rPr>
            </w:pPr>
            <w:r w:rsidRPr="00DF3598">
              <w:rPr>
                <w:rFonts w:asciiTheme="minorHAnsi" w:eastAsia="Times New Roman" w:hAnsiTheme="minorHAnsi" w:cstheme="minorHAnsi"/>
                <w:kern w:val="24"/>
                <w:sz w:val="24"/>
                <w:szCs w:val="24"/>
              </w:rPr>
              <w:t>7</w:t>
            </w:r>
          </w:p>
        </w:tc>
        <w:tc>
          <w:tcPr>
            <w:tcW w:w="4932" w:type="dxa"/>
          </w:tcPr>
          <w:p w:rsidR="00AB6650" w:rsidRPr="00DF3598" w:rsidRDefault="00AB6650" w:rsidP="004834E6">
            <w:pPr>
              <w:jc w:val="both"/>
              <w:rPr>
                <w:rFonts w:asciiTheme="minorHAnsi" w:eastAsia="Times New Roman" w:hAnsiTheme="minorHAnsi" w:cstheme="minorHAnsi"/>
                <w:sz w:val="24"/>
                <w:szCs w:val="24"/>
              </w:rPr>
            </w:pPr>
            <w:r w:rsidRPr="00DF3598">
              <w:rPr>
                <w:rFonts w:asciiTheme="minorHAnsi" w:eastAsia="Times New Roman" w:hAnsiTheme="minorHAnsi" w:cstheme="minorHAnsi"/>
                <w:kern w:val="24"/>
                <w:sz w:val="24"/>
                <w:szCs w:val="24"/>
              </w:rPr>
              <w:t>Driving NC II</w:t>
            </w:r>
          </w:p>
        </w:tc>
        <w:tc>
          <w:tcPr>
            <w:tcW w:w="1170" w:type="dxa"/>
            <w:vAlign w:val="center"/>
          </w:tcPr>
          <w:p w:rsidR="00AB6650" w:rsidRPr="00DF3598" w:rsidRDefault="00AB6650" w:rsidP="00994671">
            <w:pPr>
              <w:jc w:val="center"/>
              <w:rPr>
                <w:rFonts w:asciiTheme="minorHAnsi" w:eastAsia="Times New Roman" w:hAnsiTheme="minorHAnsi" w:cstheme="minorHAnsi"/>
                <w:sz w:val="24"/>
                <w:szCs w:val="24"/>
              </w:rPr>
            </w:pPr>
            <w:r w:rsidRPr="00DF3598">
              <w:rPr>
                <w:rFonts w:asciiTheme="minorHAnsi" w:eastAsia="Times New Roman" w:hAnsiTheme="minorHAnsi" w:cstheme="minorHAnsi"/>
                <w:kern w:val="24"/>
                <w:sz w:val="24"/>
                <w:szCs w:val="24"/>
              </w:rPr>
              <w:t>12</w:t>
            </w:r>
          </w:p>
        </w:tc>
      </w:tr>
      <w:tr w:rsidR="00AB6650" w:rsidRPr="00DF3598" w:rsidTr="00994671">
        <w:tc>
          <w:tcPr>
            <w:tcW w:w="1638" w:type="dxa"/>
          </w:tcPr>
          <w:p w:rsidR="00AB6650" w:rsidRPr="00DF3598" w:rsidRDefault="00AB6650" w:rsidP="00994671">
            <w:pPr>
              <w:jc w:val="center"/>
              <w:rPr>
                <w:rFonts w:asciiTheme="minorHAnsi" w:eastAsia="Times New Roman" w:hAnsiTheme="minorHAnsi" w:cstheme="minorHAnsi"/>
                <w:sz w:val="24"/>
                <w:szCs w:val="24"/>
              </w:rPr>
            </w:pPr>
            <w:r w:rsidRPr="00DF3598">
              <w:rPr>
                <w:rFonts w:asciiTheme="minorHAnsi" w:eastAsia="Times New Roman" w:hAnsiTheme="minorHAnsi" w:cstheme="minorHAnsi"/>
                <w:kern w:val="24"/>
                <w:sz w:val="24"/>
                <w:szCs w:val="24"/>
              </w:rPr>
              <w:t>8</w:t>
            </w:r>
          </w:p>
        </w:tc>
        <w:tc>
          <w:tcPr>
            <w:tcW w:w="4932" w:type="dxa"/>
          </w:tcPr>
          <w:p w:rsidR="00AB6650" w:rsidRPr="00DF3598" w:rsidRDefault="00AB6650" w:rsidP="004834E6">
            <w:pPr>
              <w:jc w:val="both"/>
              <w:rPr>
                <w:rFonts w:asciiTheme="minorHAnsi" w:eastAsia="Times New Roman" w:hAnsiTheme="minorHAnsi" w:cstheme="minorHAnsi"/>
                <w:sz w:val="24"/>
                <w:szCs w:val="24"/>
              </w:rPr>
            </w:pPr>
            <w:r w:rsidRPr="00DF3598">
              <w:rPr>
                <w:rFonts w:asciiTheme="minorHAnsi" w:eastAsia="Times New Roman" w:hAnsiTheme="minorHAnsi" w:cstheme="minorHAnsi"/>
                <w:kern w:val="24"/>
                <w:sz w:val="24"/>
                <w:szCs w:val="24"/>
              </w:rPr>
              <w:t>Motorcycle/Small Engine Servicing NC II</w:t>
            </w:r>
          </w:p>
        </w:tc>
        <w:tc>
          <w:tcPr>
            <w:tcW w:w="1170" w:type="dxa"/>
            <w:vAlign w:val="center"/>
          </w:tcPr>
          <w:p w:rsidR="00AB6650" w:rsidRPr="00DF3598" w:rsidRDefault="00AB6650" w:rsidP="00994671">
            <w:pPr>
              <w:jc w:val="center"/>
              <w:rPr>
                <w:rFonts w:asciiTheme="minorHAnsi" w:eastAsia="Times New Roman" w:hAnsiTheme="minorHAnsi" w:cstheme="minorHAnsi"/>
                <w:sz w:val="24"/>
                <w:szCs w:val="24"/>
              </w:rPr>
            </w:pPr>
            <w:r w:rsidRPr="00DF3598">
              <w:rPr>
                <w:rFonts w:asciiTheme="minorHAnsi" w:eastAsia="Times New Roman" w:hAnsiTheme="minorHAnsi" w:cstheme="minorHAnsi"/>
                <w:kern w:val="24"/>
                <w:sz w:val="24"/>
                <w:szCs w:val="24"/>
              </w:rPr>
              <w:t>11</w:t>
            </w:r>
          </w:p>
        </w:tc>
      </w:tr>
      <w:tr w:rsidR="00AB6650" w:rsidRPr="00DF3598" w:rsidTr="00994671">
        <w:tc>
          <w:tcPr>
            <w:tcW w:w="1638" w:type="dxa"/>
          </w:tcPr>
          <w:p w:rsidR="00AB6650" w:rsidRPr="00DF3598" w:rsidRDefault="00AB6650" w:rsidP="00994671">
            <w:pPr>
              <w:jc w:val="center"/>
              <w:rPr>
                <w:rFonts w:asciiTheme="minorHAnsi" w:eastAsia="Times New Roman" w:hAnsiTheme="minorHAnsi" w:cstheme="minorHAnsi"/>
                <w:sz w:val="24"/>
                <w:szCs w:val="24"/>
              </w:rPr>
            </w:pPr>
            <w:r w:rsidRPr="00DF3598">
              <w:rPr>
                <w:rFonts w:asciiTheme="minorHAnsi" w:eastAsia="Times New Roman" w:hAnsiTheme="minorHAnsi" w:cstheme="minorHAnsi"/>
                <w:kern w:val="24"/>
                <w:sz w:val="24"/>
                <w:szCs w:val="24"/>
              </w:rPr>
              <w:t>8</w:t>
            </w:r>
          </w:p>
        </w:tc>
        <w:tc>
          <w:tcPr>
            <w:tcW w:w="4932" w:type="dxa"/>
          </w:tcPr>
          <w:p w:rsidR="00AB6650" w:rsidRPr="00DF3598" w:rsidRDefault="00AB6650" w:rsidP="004834E6">
            <w:pPr>
              <w:jc w:val="both"/>
              <w:rPr>
                <w:rFonts w:asciiTheme="minorHAnsi" w:eastAsia="Times New Roman" w:hAnsiTheme="minorHAnsi" w:cstheme="minorHAnsi"/>
                <w:sz w:val="24"/>
                <w:szCs w:val="24"/>
              </w:rPr>
            </w:pPr>
            <w:r w:rsidRPr="00DF3598">
              <w:rPr>
                <w:rFonts w:asciiTheme="minorHAnsi" w:eastAsia="Times New Roman" w:hAnsiTheme="minorHAnsi" w:cstheme="minorHAnsi"/>
                <w:kern w:val="24"/>
                <w:sz w:val="24"/>
                <w:szCs w:val="24"/>
              </w:rPr>
              <w:t>Shielded Metal Arc Welding NC I</w:t>
            </w:r>
          </w:p>
        </w:tc>
        <w:tc>
          <w:tcPr>
            <w:tcW w:w="1170" w:type="dxa"/>
            <w:vAlign w:val="center"/>
          </w:tcPr>
          <w:p w:rsidR="00AB6650" w:rsidRPr="00DF3598" w:rsidRDefault="00AB6650" w:rsidP="00994671">
            <w:pPr>
              <w:jc w:val="center"/>
              <w:rPr>
                <w:rFonts w:asciiTheme="minorHAnsi" w:eastAsia="Times New Roman" w:hAnsiTheme="minorHAnsi" w:cstheme="minorHAnsi"/>
                <w:sz w:val="24"/>
                <w:szCs w:val="24"/>
              </w:rPr>
            </w:pPr>
            <w:r w:rsidRPr="00DF3598">
              <w:rPr>
                <w:rFonts w:asciiTheme="minorHAnsi" w:eastAsia="Times New Roman" w:hAnsiTheme="minorHAnsi" w:cstheme="minorHAnsi"/>
                <w:kern w:val="24"/>
                <w:sz w:val="24"/>
                <w:szCs w:val="24"/>
              </w:rPr>
              <w:t>11</w:t>
            </w:r>
          </w:p>
        </w:tc>
      </w:tr>
      <w:tr w:rsidR="00AB6650" w:rsidRPr="00DF3598" w:rsidTr="00994671">
        <w:tc>
          <w:tcPr>
            <w:tcW w:w="1638" w:type="dxa"/>
          </w:tcPr>
          <w:p w:rsidR="00AB6650" w:rsidRPr="00DF3598" w:rsidRDefault="00AB6650" w:rsidP="00994671">
            <w:pPr>
              <w:spacing w:line="256" w:lineRule="atLeast"/>
              <w:jc w:val="center"/>
              <w:rPr>
                <w:rFonts w:asciiTheme="minorHAnsi" w:eastAsia="Times New Roman" w:hAnsiTheme="minorHAnsi" w:cstheme="minorHAnsi"/>
                <w:sz w:val="24"/>
                <w:szCs w:val="24"/>
              </w:rPr>
            </w:pPr>
            <w:r w:rsidRPr="00DF3598">
              <w:rPr>
                <w:rFonts w:asciiTheme="minorHAnsi" w:eastAsia="Times New Roman" w:hAnsiTheme="minorHAnsi" w:cstheme="minorHAnsi"/>
                <w:kern w:val="24"/>
                <w:sz w:val="24"/>
                <w:szCs w:val="24"/>
              </w:rPr>
              <w:t>9</w:t>
            </w:r>
          </w:p>
        </w:tc>
        <w:tc>
          <w:tcPr>
            <w:tcW w:w="4932" w:type="dxa"/>
          </w:tcPr>
          <w:p w:rsidR="00AB6650" w:rsidRPr="00DF3598" w:rsidRDefault="00AB6650" w:rsidP="004834E6">
            <w:pPr>
              <w:spacing w:line="256" w:lineRule="atLeast"/>
              <w:jc w:val="both"/>
              <w:rPr>
                <w:rFonts w:asciiTheme="minorHAnsi" w:eastAsia="Times New Roman" w:hAnsiTheme="minorHAnsi" w:cstheme="minorHAnsi"/>
                <w:sz w:val="24"/>
                <w:szCs w:val="24"/>
              </w:rPr>
            </w:pPr>
            <w:r w:rsidRPr="00DF3598">
              <w:rPr>
                <w:rFonts w:asciiTheme="minorHAnsi" w:eastAsia="Times New Roman" w:hAnsiTheme="minorHAnsi" w:cstheme="minorHAnsi"/>
                <w:kern w:val="24"/>
                <w:sz w:val="24"/>
                <w:szCs w:val="24"/>
              </w:rPr>
              <w:t>Caregiving NC II</w:t>
            </w:r>
          </w:p>
        </w:tc>
        <w:tc>
          <w:tcPr>
            <w:tcW w:w="1170" w:type="dxa"/>
            <w:vAlign w:val="center"/>
          </w:tcPr>
          <w:p w:rsidR="00AB6650" w:rsidRPr="00DF3598" w:rsidRDefault="00AB6650" w:rsidP="00994671">
            <w:pPr>
              <w:spacing w:line="256" w:lineRule="atLeast"/>
              <w:jc w:val="center"/>
              <w:rPr>
                <w:rFonts w:asciiTheme="minorHAnsi" w:eastAsia="Times New Roman" w:hAnsiTheme="minorHAnsi" w:cstheme="minorHAnsi"/>
                <w:sz w:val="24"/>
                <w:szCs w:val="24"/>
              </w:rPr>
            </w:pPr>
            <w:r w:rsidRPr="00DF3598">
              <w:rPr>
                <w:rFonts w:asciiTheme="minorHAnsi" w:eastAsia="Times New Roman" w:hAnsiTheme="minorHAnsi" w:cstheme="minorHAnsi"/>
                <w:kern w:val="24"/>
                <w:sz w:val="24"/>
                <w:szCs w:val="24"/>
              </w:rPr>
              <w:t>10</w:t>
            </w:r>
          </w:p>
        </w:tc>
      </w:tr>
      <w:tr w:rsidR="00AB6650" w:rsidRPr="00DF3598" w:rsidTr="00994671">
        <w:tc>
          <w:tcPr>
            <w:tcW w:w="1638" w:type="dxa"/>
          </w:tcPr>
          <w:p w:rsidR="00AB6650" w:rsidRPr="00DF3598" w:rsidRDefault="00AB6650" w:rsidP="00994671">
            <w:pPr>
              <w:spacing w:line="208" w:lineRule="atLeast"/>
              <w:jc w:val="center"/>
              <w:rPr>
                <w:rFonts w:asciiTheme="minorHAnsi" w:eastAsia="Times New Roman" w:hAnsiTheme="minorHAnsi" w:cstheme="minorHAnsi"/>
                <w:sz w:val="24"/>
                <w:szCs w:val="24"/>
              </w:rPr>
            </w:pPr>
            <w:r w:rsidRPr="00DF3598">
              <w:rPr>
                <w:rFonts w:asciiTheme="minorHAnsi" w:eastAsia="Times New Roman" w:hAnsiTheme="minorHAnsi" w:cstheme="minorHAnsi"/>
                <w:kern w:val="24"/>
                <w:sz w:val="24"/>
                <w:szCs w:val="24"/>
              </w:rPr>
              <w:t>9</w:t>
            </w:r>
          </w:p>
        </w:tc>
        <w:tc>
          <w:tcPr>
            <w:tcW w:w="4932" w:type="dxa"/>
          </w:tcPr>
          <w:p w:rsidR="00AB6650" w:rsidRPr="00DF3598" w:rsidRDefault="00AB6650" w:rsidP="004834E6">
            <w:pPr>
              <w:spacing w:line="208" w:lineRule="atLeast"/>
              <w:jc w:val="both"/>
              <w:rPr>
                <w:rFonts w:asciiTheme="minorHAnsi" w:eastAsia="Times New Roman" w:hAnsiTheme="minorHAnsi" w:cstheme="minorHAnsi"/>
                <w:sz w:val="24"/>
                <w:szCs w:val="24"/>
              </w:rPr>
            </w:pPr>
            <w:r w:rsidRPr="00DF3598">
              <w:rPr>
                <w:rFonts w:asciiTheme="minorHAnsi" w:eastAsia="Times New Roman" w:hAnsiTheme="minorHAnsi" w:cstheme="minorHAnsi"/>
                <w:kern w:val="24"/>
                <w:sz w:val="24"/>
                <w:szCs w:val="24"/>
              </w:rPr>
              <w:t>Electrical Installation and Maintenance NC II</w:t>
            </w:r>
          </w:p>
        </w:tc>
        <w:tc>
          <w:tcPr>
            <w:tcW w:w="1170" w:type="dxa"/>
            <w:vAlign w:val="center"/>
          </w:tcPr>
          <w:p w:rsidR="00AB6650" w:rsidRPr="00DF3598" w:rsidRDefault="00AB6650" w:rsidP="00994671">
            <w:pPr>
              <w:spacing w:line="208" w:lineRule="atLeast"/>
              <w:jc w:val="center"/>
              <w:rPr>
                <w:rFonts w:asciiTheme="minorHAnsi" w:eastAsia="Times New Roman" w:hAnsiTheme="minorHAnsi" w:cstheme="minorHAnsi"/>
                <w:sz w:val="24"/>
                <w:szCs w:val="24"/>
              </w:rPr>
            </w:pPr>
            <w:r w:rsidRPr="00DF3598">
              <w:rPr>
                <w:rFonts w:asciiTheme="minorHAnsi" w:eastAsia="Times New Roman" w:hAnsiTheme="minorHAnsi" w:cstheme="minorHAnsi"/>
                <w:kern w:val="24"/>
                <w:sz w:val="24"/>
                <w:szCs w:val="24"/>
              </w:rPr>
              <w:t>10</w:t>
            </w:r>
          </w:p>
        </w:tc>
      </w:tr>
      <w:tr w:rsidR="00AB6650" w:rsidRPr="00DF3598" w:rsidTr="00994671">
        <w:tc>
          <w:tcPr>
            <w:tcW w:w="1638" w:type="dxa"/>
          </w:tcPr>
          <w:p w:rsidR="00AB6650" w:rsidRPr="00DF3598" w:rsidRDefault="00AB6650" w:rsidP="00994671">
            <w:pPr>
              <w:spacing w:line="280" w:lineRule="atLeast"/>
              <w:jc w:val="center"/>
              <w:rPr>
                <w:rFonts w:asciiTheme="minorHAnsi" w:eastAsia="Times New Roman" w:hAnsiTheme="minorHAnsi" w:cstheme="minorHAnsi"/>
                <w:sz w:val="24"/>
                <w:szCs w:val="24"/>
              </w:rPr>
            </w:pPr>
            <w:r w:rsidRPr="00DF3598">
              <w:rPr>
                <w:rFonts w:asciiTheme="minorHAnsi" w:eastAsia="Times New Roman" w:hAnsiTheme="minorHAnsi" w:cstheme="minorHAnsi"/>
                <w:kern w:val="24"/>
                <w:sz w:val="24"/>
                <w:szCs w:val="24"/>
              </w:rPr>
              <w:t>9</w:t>
            </w:r>
          </w:p>
        </w:tc>
        <w:tc>
          <w:tcPr>
            <w:tcW w:w="4932" w:type="dxa"/>
          </w:tcPr>
          <w:p w:rsidR="00AB6650" w:rsidRPr="00DF3598" w:rsidRDefault="00AB6650" w:rsidP="004834E6">
            <w:pPr>
              <w:spacing w:line="280" w:lineRule="atLeast"/>
              <w:jc w:val="both"/>
              <w:rPr>
                <w:rFonts w:asciiTheme="minorHAnsi" w:eastAsia="Times New Roman" w:hAnsiTheme="minorHAnsi" w:cstheme="minorHAnsi"/>
                <w:sz w:val="24"/>
                <w:szCs w:val="24"/>
              </w:rPr>
            </w:pPr>
            <w:r w:rsidRPr="00DF3598">
              <w:rPr>
                <w:rFonts w:asciiTheme="minorHAnsi" w:eastAsia="Times New Roman" w:hAnsiTheme="minorHAnsi" w:cstheme="minorHAnsi"/>
                <w:kern w:val="24"/>
                <w:sz w:val="24"/>
                <w:szCs w:val="24"/>
              </w:rPr>
              <w:t>Health Care Services NC II</w:t>
            </w:r>
          </w:p>
        </w:tc>
        <w:tc>
          <w:tcPr>
            <w:tcW w:w="1170" w:type="dxa"/>
            <w:vAlign w:val="center"/>
          </w:tcPr>
          <w:p w:rsidR="00AB6650" w:rsidRPr="00DF3598" w:rsidRDefault="00AB6650" w:rsidP="00994671">
            <w:pPr>
              <w:spacing w:line="280" w:lineRule="atLeast"/>
              <w:jc w:val="center"/>
              <w:rPr>
                <w:rFonts w:asciiTheme="minorHAnsi" w:eastAsia="Times New Roman" w:hAnsiTheme="minorHAnsi" w:cstheme="minorHAnsi"/>
                <w:sz w:val="24"/>
                <w:szCs w:val="24"/>
              </w:rPr>
            </w:pPr>
            <w:r w:rsidRPr="00DF3598">
              <w:rPr>
                <w:rFonts w:asciiTheme="minorHAnsi" w:eastAsia="Times New Roman" w:hAnsiTheme="minorHAnsi" w:cstheme="minorHAnsi"/>
                <w:kern w:val="24"/>
                <w:sz w:val="24"/>
                <w:szCs w:val="24"/>
              </w:rPr>
              <w:t>10</w:t>
            </w:r>
          </w:p>
        </w:tc>
      </w:tr>
      <w:tr w:rsidR="00AB6650" w:rsidRPr="00DF3598" w:rsidTr="00994671">
        <w:tc>
          <w:tcPr>
            <w:tcW w:w="1638" w:type="dxa"/>
          </w:tcPr>
          <w:p w:rsidR="00AB6650" w:rsidRPr="00DF3598" w:rsidRDefault="00AB6650" w:rsidP="00994671">
            <w:pPr>
              <w:jc w:val="center"/>
              <w:rPr>
                <w:rFonts w:asciiTheme="minorHAnsi" w:eastAsia="Times New Roman" w:hAnsiTheme="minorHAnsi" w:cstheme="minorHAnsi"/>
                <w:sz w:val="24"/>
                <w:szCs w:val="24"/>
              </w:rPr>
            </w:pPr>
            <w:r w:rsidRPr="00DF3598">
              <w:rPr>
                <w:rFonts w:asciiTheme="minorHAnsi" w:eastAsia="Times New Roman" w:hAnsiTheme="minorHAnsi" w:cstheme="minorHAnsi"/>
                <w:kern w:val="24"/>
                <w:sz w:val="24"/>
                <w:szCs w:val="24"/>
              </w:rPr>
              <w:t>10</w:t>
            </w:r>
          </w:p>
        </w:tc>
        <w:tc>
          <w:tcPr>
            <w:tcW w:w="4932" w:type="dxa"/>
          </w:tcPr>
          <w:p w:rsidR="00AB6650" w:rsidRPr="00DF3598" w:rsidRDefault="00AB6650" w:rsidP="004834E6">
            <w:pPr>
              <w:jc w:val="both"/>
              <w:rPr>
                <w:rFonts w:asciiTheme="minorHAnsi" w:eastAsia="Times New Roman" w:hAnsiTheme="minorHAnsi" w:cstheme="minorHAnsi"/>
                <w:sz w:val="24"/>
                <w:szCs w:val="24"/>
              </w:rPr>
            </w:pPr>
            <w:r w:rsidRPr="00DF3598">
              <w:rPr>
                <w:rFonts w:asciiTheme="minorHAnsi" w:eastAsia="Times New Roman" w:hAnsiTheme="minorHAnsi" w:cstheme="minorHAnsi"/>
                <w:kern w:val="24"/>
                <w:sz w:val="24"/>
                <w:szCs w:val="24"/>
              </w:rPr>
              <w:t>Automotive Servicing NC I</w:t>
            </w:r>
          </w:p>
        </w:tc>
        <w:tc>
          <w:tcPr>
            <w:tcW w:w="1170" w:type="dxa"/>
            <w:vAlign w:val="center"/>
          </w:tcPr>
          <w:p w:rsidR="00AB6650" w:rsidRPr="00DF3598" w:rsidRDefault="00AB6650" w:rsidP="00994671">
            <w:pPr>
              <w:jc w:val="center"/>
              <w:rPr>
                <w:rFonts w:asciiTheme="minorHAnsi" w:eastAsia="Times New Roman" w:hAnsiTheme="minorHAnsi" w:cstheme="minorHAnsi"/>
                <w:sz w:val="24"/>
                <w:szCs w:val="24"/>
              </w:rPr>
            </w:pPr>
            <w:r w:rsidRPr="00DF3598">
              <w:rPr>
                <w:rFonts w:asciiTheme="minorHAnsi" w:eastAsia="Times New Roman" w:hAnsiTheme="minorHAnsi" w:cstheme="minorHAnsi"/>
                <w:kern w:val="24"/>
                <w:sz w:val="24"/>
                <w:szCs w:val="24"/>
              </w:rPr>
              <w:t>9</w:t>
            </w:r>
          </w:p>
        </w:tc>
      </w:tr>
      <w:tr w:rsidR="00AB6650" w:rsidRPr="00DF3598" w:rsidTr="00994671">
        <w:tc>
          <w:tcPr>
            <w:tcW w:w="1638" w:type="dxa"/>
          </w:tcPr>
          <w:p w:rsidR="00AB6650" w:rsidRPr="00DF3598" w:rsidRDefault="00AB6650" w:rsidP="00994671">
            <w:pPr>
              <w:spacing w:line="288" w:lineRule="atLeast"/>
              <w:jc w:val="center"/>
              <w:rPr>
                <w:rFonts w:asciiTheme="minorHAnsi" w:eastAsia="Times New Roman" w:hAnsiTheme="minorHAnsi" w:cstheme="minorHAnsi"/>
                <w:sz w:val="24"/>
                <w:szCs w:val="24"/>
              </w:rPr>
            </w:pPr>
            <w:r w:rsidRPr="00DF3598">
              <w:rPr>
                <w:rFonts w:asciiTheme="minorHAnsi" w:eastAsia="Times New Roman" w:hAnsiTheme="minorHAnsi" w:cstheme="minorHAnsi"/>
                <w:kern w:val="24"/>
                <w:sz w:val="24"/>
                <w:szCs w:val="24"/>
              </w:rPr>
              <w:t>10</w:t>
            </w:r>
          </w:p>
        </w:tc>
        <w:tc>
          <w:tcPr>
            <w:tcW w:w="4932" w:type="dxa"/>
          </w:tcPr>
          <w:p w:rsidR="00AB6650" w:rsidRPr="00DF3598" w:rsidRDefault="00AB6650" w:rsidP="004834E6">
            <w:pPr>
              <w:spacing w:line="288" w:lineRule="atLeast"/>
              <w:jc w:val="both"/>
              <w:rPr>
                <w:rFonts w:asciiTheme="minorHAnsi" w:eastAsia="Times New Roman" w:hAnsiTheme="minorHAnsi" w:cstheme="minorHAnsi"/>
                <w:sz w:val="24"/>
                <w:szCs w:val="24"/>
              </w:rPr>
            </w:pPr>
            <w:r w:rsidRPr="00DF3598">
              <w:rPr>
                <w:rFonts w:asciiTheme="minorHAnsi" w:eastAsia="Times New Roman" w:hAnsiTheme="minorHAnsi" w:cstheme="minorHAnsi"/>
                <w:kern w:val="24"/>
                <w:sz w:val="24"/>
                <w:szCs w:val="24"/>
              </w:rPr>
              <w:t>Automotive Servicing NC II</w:t>
            </w:r>
          </w:p>
        </w:tc>
        <w:tc>
          <w:tcPr>
            <w:tcW w:w="1170" w:type="dxa"/>
            <w:vAlign w:val="center"/>
          </w:tcPr>
          <w:p w:rsidR="00AB6650" w:rsidRPr="00DF3598" w:rsidRDefault="00AB6650" w:rsidP="00994671">
            <w:pPr>
              <w:spacing w:line="288" w:lineRule="atLeast"/>
              <w:jc w:val="center"/>
              <w:rPr>
                <w:rFonts w:asciiTheme="minorHAnsi" w:eastAsia="Times New Roman" w:hAnsiTheme="minorHAnsi" w:cstheme="minorHAnsi"/>
                <w:sz w:val="24"/>
                <w:szCs w:val="24"/>
              </w:rPr>
            </w:pPr>
            <w:r w:rsidRPr="00DF3598">
              <w:rPr>
                <w:rFonts w:asciiTheme="minorHAnsi" w:eastAsia="Times New Roman" w:hAnsiTheme="minorHAnsi" w:cstheme="minorHAnsi"/>
                <w:kern w:val="24"/>
                <w:sz w:val="24"/>
                <w:szCs w:val="24"/>
              </w:rPr>
              <w:t>9</w:t>
            </w:r>
          </w:p>
        </w:tc>
      </w:tr>
      <w:tr w:rsidR="00AB6650" w:rsidRPr="00DF3598" w:rsidTr="00994671">
        <w:tc>
          <w:tcPr>
            <w:tcW w:w="1638" w:type="dxa"/>
          </w:tcPr>
          <w:p w:rsidR="00AB6650" w:rsidRPr="00DF3598" w:rsidRDefault="00AB6650" w:rsidP="00994671">
            <w:pPr>
              <w:jc w:val="center"/>
              <w:rPr>
                <w:rFonts w:asciiTheme="minorHAnsi" w:eastAsia="Times New Roman" w:hAnsiTheme="minorHAnsi" w:cstheme="minorHAnsi"/>
                <w:sz w:val="24"/>
                <w:szCs w:val="24"/>
              </w:rPr>
            </w:pPr>
            <w:r w:rsidRPr="00DF3598">
              <w:rPr>
                <w:rFonts w:asciiTheme="minorHAnsi" w:eastAsia="Times New Roman" w:hAnsiTheme="minorHAnsi" w:cstheme="minorHAnsi"/>
                <w:kern w:val="24"/>
                <w:sz w:val="24"/>
                <w:szCs w:val="24"/>
              </w:rPr>
              <w:t>10</w:t>
            </w:r>
          </w:p>
        </w:tc>
        <w:tc>
          <w:tcPr>
            <w:tcW w:w="4932" w:type="dxa"/>
          </w:tcPr>
          <w:p w:rsidR="00AB6650" w:rsidRPr="00DF3598" w:rsidRDefault="00AB6650" w:rsidP="004834E6">
            <w:pPr>
              <w:jc w:val="both"/>
              <w:rPr>
                <w:rFonts w:asciiTheme="minorHAnsi" w:eastAsia="Times New Roman" w:hAnsiTheme="minorHAnsi" w:cstheme="minorHAnsi"/>
                <w:sz w:val="24"/>
                <w:szCs w:val="24"/>
              </w:rPr>
            </w:pPr>
            <w:r w:rsidRPr="00DF3598">
              <w:rPr>
                <w:rFonts w:asciiTheme="minorHAnsi" w:eastAsia="Times New Roman" w:hAnsiTheme="minorHAnsi" w:cstheme="minorHAnsi"/>
                <w:kern w:val="24"/>
                <w:sz w:val="24"/>
                <w:szCs w:val="24"/>
              </w:rPr>
              <w:t>Bookkeeping NC III</w:t>
            </w:r>
          </w:p>
        </w:tc>
        <w:tc>
          <w:tcPr>
            <w:tcW w:w="1170" w:type="dxa"/>
            <w:vAlign w:val="center"/>
          </w:tcPr>
          <w:p w:rsidR="00AB6650" w:rsidRPr="00DF3598" w:rsidRDefault="00AB6650" w:rsidP="00994671">
            <w:pPr>
              <w:jc w:val="center"/>
              <w:rPr>
                <w:rFonts w:asciiTheme="minorHAnsi" w:eastAsia="Times New Roman" w:hAnsiTheme="minorHAnsi" w:cstheme="minorHAnsi"/>
                <w:sz w:val="24"/>
                <w:szCs w:val="24"/>
              </w:rPr>
            </w:pPr>
            <w:r w:rsidRPr="00DF3598">
              <w:rPr>
                <w:rFonts w:asciiTheme="minorHAnsi" w:eastAsia="Times New Roman" w:hAnsiTheme="minorHAnsi" w:cstheme="minorHAnsi"/>
                <w:kern w:val="24"/>
                <w:sz w:val="24"/>
                <w:szCs w:val="24"/>
              </w:rPr>
              <w:t>9</w:t>
            </w:r>
          </w:p>
        </w:tc>
      </w:tr>
      <w:tr w:rsidR="00AB6650" w:rsidRPr="00DF3598" w:rsidTr="00994671">
        <w:tc>
          <w:tcPr>
            <w:tcW w:w="1638" w:type="dxa"/>
          </w:tcPr>
          <w:p w:rsidR="00AB6650" w:rsidRPr="00DF3598" w:rsidRDefault="00AB6650" w:rsidP="00994671">
            <w:pPr>
              <w:jc w:val="center"/>
              <w:rPr>
                <w:rFonts w:asciiTheme="minorHAnsi" w:eastAsia="Times New Roman" w:hAnsiTheme="minorHAnsi" w:cstheme="minorHAnsi"/>
                <w:sz w:val="24"/>
                <w:szCs w:val="24"/>
              </w:rPr>
            </w:pPr>
            <w:r w:rsidRPr="00DF3598">
              <w:rPr>
                <w:rFonts w:asciiTheme="minorHAnsi" w:eastAsia="Times New Roman" w:hAnsiTheme="minorHAnsi" w:cstheme="minorHAnsi"/>
                <w:kern w:val="24"/>
                <w:sz w:val="24"/>
                <w:szCs w:val="24"/>
              </w:rPr>
              <w:t>10</w:t>
            </w:r>
          </w:p>
        </w:tc>
        <w:tc>
          <w:tcPr>
            <w:tcW w:w="4932" w:type="dxa"/>
          </w:tcPr>
          <w:p w:rsidR="00AB6650" w:rsidRPr="00DF3598" w:rsidRDefault="00AB6650" w:rsidP="004834E6">
            <w:pPr>
              <w:jc w:val="both"/>
              <w:rPr>
                <w:rFonts w:asciiTheme="minorHAnsi" w:eastAsia="Times New Roman" w:hAnsiTheme="minorHAnsi" w:cstheme="minorHAnsi"/>
                <w:sz w:val="24"/>
                <w:szCs w:val="24"/>
              </w:rPr>
            </w:pPr>
            <w:r w:rsidRPr="00DF3598">
              <w:rPr>
                <w:rFonts w:asciiTheme="minorHAnsi" w:eastAsia="Times New Roman" w:hAnsiTheme="minorHAnsi" w:cstheme="minorHAnsi"/>
                <w:kern w:val="24"/>
                <w:sz w:val="24"/>
                <w:szCs w:val="24"/>
              </w:rPr>
              <w:t>Events Management Services NC III</w:t>
            </w:r>
          </w:p>
        </w:tc>
        <w:tc>
          <w:tcPr>
            <w:tcW w:w="1170" w:type="dxa"/>
            <w:vAlign w:val="center"/>
          </w:tcPr>
          <w:p w:rsidR="00AB6650" w:rsidRPr="00DF3598" w:rsidRDefault="00AB6650" w:rsidP="00994671">
            <w:pPr>
              <w:jc w:val="center"/>
              <w:rPr>
                <w:rFonts w:asciiTheme="minorHAnsi" w:eastAsia="Times New Roman" w:hAnsiTheme="minorHAnsi" w:cstheme="minorHAnsi"/>
                <w:sz w:val="24"/>
                <w:szCs w:val="24"/>
              </w:rPr>
            </w:pPr>
            <w:r w:rsidRPr="00DF3598">
              <w:rPr>
                <w:rFonts w:asciiTheme="minorHAnsi" w:eastAsia="Times New Roman" w:hAnsiTheme="minorHAnsi" w:cstheme="minorHAnsi"/>
                <w:kern w:val="24"/>
                <w:sz w:val="24"/>
                <w:szCs w:val="24"/>
              </w:rPr>
              <w:t>9</w:t>
            </w:r>
          </w:p>
        </w:tc>
      </w:tr>
      <w:tr w:rsidR="00AB6650" w:rsidRPr="00DF3598" w:rsidTr="00994671">
        <w:tc>
          <w:tcPr>
            <w:tcW w:w="1638" w:type="dxa"/>
          </w:tcPr>
          <w:p w:rsidR="00AB6650" w:rsidRPr="00DF3598" w:rsidRDefault="00AB6650" w:rsidP="00994671">
            <w:pPr>
              <w:spacing w:line="240" w:lineRule="atLeast"/>
              <w:jc w:val="center"/>
              <w:rPr>
                <w:rFonts w:asciiTheme="minorHAnsi" w:eastAsia="Times New Roman" w:hAnsiTheme="minorHAnsi" w:cstheme="minorHAnsi"/>
                <w:sz w:val="24"/>
                <w:szCs w:val="24"/>
              </w:rPr>
            </w:pPr>
            <w:r w:rsidRPr="00DF3598">
              <w:rPr>
                <w:rFonts w:asciiTheme="minorHAnsi" w:eastAsia="Times New Roman" w:hAnsiTheme="minorHAnsi" w:cstheme="minorHAnsi"/>
                <w:kern w:val="24"/>
                <w:sz w:val="24"/>
                <w:szCs w:val="24"/>
              </w:rPr>
              <w:t>10</w:t>
            </w:r>
          </w:p>
        </w:tc>
        <w:tc>
          <w:tcPr>
            <w:tcW w:w="4932" w:type="dxa"/>
          </w:tcPr>
          <w:p w:rsidR="00AB6650" w:rsidRPr="00DF3598" w:rsidRDefault="00AB6650" w:rsidP="004834E6">
            <w:pPr>
              <w:spacing w:line="240" w:lineRule="atLeast"/>
              <w:jc w:val="both"/>
              <w:rPr>
                <w:rFonts w:asciiTheme="minorHAnsi" w:eastAsia="Times New Roman" w:hAnsiTheme="minorHAnsi" w:cstheme="minorHAnsi"/>
                <w:sz w:val="24"/>
                <w:szCs w:val="24"/>
              </w:rPr>
            </w:pPr>
            <w:r w:rsidRPr="00DF3598">
              <w:rPr>
                <w:rFonts w:asciiTheme="minorHAnsi" w:eastAsia="Times New Roman" w:hAnsiTheme="minorHAnsi" w:cstheme="minorHAnsi"/>
                <w:kern w:val="24"/>
                <w:sz w:val="24"/>
                <w:szCs w:val="24"/>
              </w:rPr>
              <w:t>Gas Tungsten Arc Welding NC II</w:t>
            </w:r>
          </w:p>
        </w:tc>
        <w:tc>
          <w:tcPr>
            <w:tcW w:w="1170" w:type="dxa"/>
            <w:vAlign w:val="center"/>
          </w:tcPr>
          <w:p w:rsidR="00AB6650" w:rsidRPr="00DF3598" w:rsidRDefault="00AB6650" w:rsidP="00994671">
            <w:pPr>
              <w:spacing w:line="240" w:lineRule="atLeast"/>
              <w:jc w:val="center"/>
              <w:rPr>
                <w:rFonts w:asciiTheme="minorHAnsi" w:eastAsia="Times New Roman" w:hAnsiTheme="minorHAnsi" w:cstheme="minorHAnsi"/>
                <w:sz w:val="24"/>
                <w:szCs w:val="24"/>
              </w:rPr>
            </w:pPr>
            <w:r w:rsidRPr="00DF3598">
              <w:rPr>
                <w:rFonts w:asciiTheme="minorHAnsi" w:eastAsia="Times New Roman" w:hAnsiTheme="minorHAnsi" w:cstheme="minorHAnsi"/>
                <w:kern w:val="24"/>
                <w:sz w:val="24"/>
                <w:szCs w:val="24"/>
              </w:rPr>
              <w:t>9</w:t>
            </w:r>
          </w:p>
        </w:tc>
      </w:tr>
    </w:tbl>
    <w:p w:rsidR="00AB6650" w:rsidRPr="00DF3598" w:rsidRDefault="00AB6650" w:rsidP="004834E6">
      <w:pPr>
        <w:tabs>
          <w:tab w:val="left" w:pos="5175"/>
        </w:tabs>
        <w:spacing w:after="0" w:line="240" w:lineRule="auto"/>
        <w:jc w:val="both"/>
        <w:rPr>
          <w:sz w:val="24"/>
          <w:szCs w:val="24"/>
        </w:rPr>
      </w:pPr>
    </w:p>
    <w:p w:rsidR="00AF4A7F" w:rsidRPr="00DF3598" w:rsidRDefault="00AF4A7F" w:rsidP="004834E6">
      <w:pPr>
        <w:spacing w:after="0" w:line="240" w:lineRule="auto"/>
        <w:jc w:val="both"/>
        <w:rPr>
          <w:sz w:val="24"/>
          <w:szCs w:val="24"/>
        </w:rPr>
      </w:pPr>
    </w:p>
    <w:p w:rsidR="00AF4A7F" w:rsidRPr="00A759C6" w:rsidRDefault="00994671" w:rsidP="005B29D9">
      <w:pPr>
        <w:spacing w:after="0" w:line="240" w:lineRule="auto"/>
        <w:jc w:val="center"/>
        <w:rPr>
          <w:b/>
          <w:sz w:val="24"/>
          <w:szCs w:val="24"/>
        </w:rPr>
      </w:pPr>
      <w:r w:rsidRPr="00A759C6">
        <w:rPr>
          <w:b/>
          <w:sz w:val="24"/>
          <w:szCs w:val="24"/>
        </w:rPr>
        <w:t xml:space="preserve">Table </w:t>
      </w:r>
      <w:r w:rsidR="00A759C6" w:rsidRPr="00A759C6">
        <w:rPr>
          <w:b/>
          <w:sz w:val="24"/>
          <w:szCs w:val="24"/>
        </w:rPr>
        <w:t>8</w:t>
      </w:r>
      <w:r w:rsidRPr="00A759C6">
        <w:rPr>
          <w:b/>
          <w:sz w:val="24"/>
          <w:szCs w:val="24"/>
        </w:rPr>
        <w:t xml:space="preserve">.  </w:t>
      </w:r>
      <w:r w:rsidR="005B29D9" w:rsidRPr="00A759C6">
        <w:rPr>
          <w:b/>
          <w:sz w:val="24"/>
          <w:szCs w:val="24"/>
        </w:rPr>
        <w:t>Accomplishment Report for CY 2015-2016 and As of October 2017</w:t>
      </w:r>
    </w:p>
    <w:p w:rsidR="00AF4A7F" w:rsidRPr="00DF3598" w:rsidRDefault="00AF4A7F" w:rsidP="004834E6">
      <w:pPr>
        <w:spacing w:after="0" w:line="240" w:lineRule="auto"/>
        <w:jc w:val="both"/>
        <w:rPr>
          <w:sz w:val="24"/>
          <w:szCs w:val="24"/>
        </w:rPr>
      </w:pPr>
    </w:p>
    <w:tbl>
      <w:tblPr>
        <w:tblStyle w:val="TableGrid"/>
        <w:tblW w:w="9576" w:type="dxa"/>
        <w:tblInd w:w="108" w:type="dxa"/>
        <w:tblLook w:val="04A0" w:firstRow="1" w:lastRow="0" w:firstColumn="1" w:lastColumn="0" w:noHBand="0" w:noVBand="1"/>
      </w:tblPr>
      <w:tblGrid>
        <w:gridCol w:w="1187"/>
        <w:gridCol w:w="932"/>
        <w:gridCol w:w="933"/>
        <w:gridCol w:w="932"/>
        <w:gridCol w:w="932"/>
        <w:gridCol w:w="932"/>
        <w:gridCol w:w="932"/>
        <w:gridCol w:w="932"/>
        <w:gridCol w:w="932"/>
        <w:gridCol w:w="932"/>
      </w:tblGrid>
      <w:tr w:rsidR="002B7448" w:rsidRPr="00DF3598" w:rsidTr="00994671">
        <w:tc>
          <w:tcPr>
            <w:tcW w:w="1187" w:type="dxa"/>
          </w:tcPr>
          <w:p w:rsidR="002B7448" w:rsidRPr="00DF3598" w:rsidRDefault="002B7448" w:rsidP="004834E6">
            <w:pPr>
              <w:jc w:val="both"/>
              <w:rPr>
                <w:rFonts w:asciiTheme="minorHAnsi" w:hAnsiTheme="minorHAnsi" w:cstheme="minorHAnsi"/>
                <w:sz w:val="24"/>
                <w:szCs w:val="24"/>
              </w:rPr>
            </w:pPr>
          </w:p>
        </w:tc>
        <w:tc>
          <w:tcPr>
            <w:tcW w:w="2797" w:type="dxa"/>
            <w:gridSpan w:val="3"/>
          </w:tcPr>
          <w:p w:rsidR="002B7448" w:rsidRPr="00DF3598" w:rsidRDefault="002B7448" w:rsidP="002B7448">
            <w:pPr>
              <w:jc w:val="center"/>
              <w:rPr>
                <w:rFonts w:asciiTheme="minorHAnsi" w:hAnsiTheme="minorHAnsi" w:cstheme="minorHAnsi"/>
                <w:sz w:val="24"/>
                <w:szCs w:val="24"/>
              </w:rPr>
            </w:pPr>
            <w:r w:rsidRPr="00DF3598">
              <w:rPr>
                <w:rFonts w:asciiTheme="minorHAnsi" w:hAnsiTheme="minorHAnsi" w:cstheme="minorHAnsi"/>
                <w:sz w:val="24"/>
                <w:szCs w:val="24"/>
              </w:rPr>
              <w:t>2015</w:t>
            </w:r>
          </w:p>
        </w:tc>
        <w:tc>
          <w:tcPr>
            <w:tcW w:w="2796" w:type="dxa"/>
            <w:gridSpan w:val="3"/>
          </w:tcPr>
          <w:p w:rsidR="002B7448" w:rsidRPr="00DF3598" w:rsidRDefault="002B7448" w:rsidP="002B7448">
            <w:pPr>
              <w:jc w:val="center"/>
              <w:rPr>
                <w:rFonts w:asciiTheme="minorHAnsi" w:hAnsiTheme="minorHAnsi" w:cstheme="minorHAnsi"/>
                <w:sz w:val="24"/>
                <w:szCs w:val="24"/>
              </w:rPr>
            </w:pPr>
            <w:r w:rsidRPr="00DF3598">
              <w:rPr>
                <w:rFonts w:asciiTheme="minorHAnsi" w:hAnsiTheme="minorHAnsi" w:cstheme="minorHAnsi"/>
                <w:sz w:val="24"/>
                <w:szCs w:val="24"/>
              </w:rPr>
              <w:t>2016</w:t>
            </w:r>
          </w:p>
        </w:tc>
        <w:tc>
          <w:tcPr>
            <w:tcW w:w="2796" w:type="dxa"/>
            <w:gridSpan w:val="3"/>
          </w:tcPr>
          <w:p w:rsidR="002B7448" w:rsidRPr="00DF3598" w:rsidRDefault="002B7448" w:rsidP="002B7448">
            <w:pPr>
              <w:jc w:val="center"/>
              <w:rPr>
                <w:rFonts w:asciiTheme="minorHAnsi" w:hAnsiTheme="minorHAnsi" w:cstheme="minorHAnsi"/>
                <w:sz w:val="24"/>
                <w:szCs w:val="24"/>
              </w:rPr>
            </w:pPr>
            <w:r w:rsidRPr="00DF3598">
              <w:rPr>
                <w:rFonts w:asciiTheme="minorHAnsi" w:hAnsiTheme="minorHAnsi" w:cstheme="minorHAnsi"/>
                <w:sz w:val="24"/>
                <w:szCs w:val="24"/>
              </w:rPr>
              <w:t>2017</w:t>
            </w:r>
          </w:p>
        </w:tc>
      </w:tr>
      <w:tr w:rsidR="002B7448" w:rsidRPr="00DF3598" w:rsidTr="00994671">
        <w:tc>
          <w:tcPr>
            <w:tcW w:w="1187" w:type="dxa"/>
          </w:tcPr>
          <w:p w:rsidR="002B7448" w:rsidRPr="00DF3598" w:rsidRDefault="002B7448" w:rsidP="004834E6">
            <w:pPr>
              <w:jc w:val="both"/>
              <w:rPr>
                <w:rFonts w:asciiTheme="minorHAnsi" w:hAnsiTheme="minorHAnsi" w:cstheme="minorHAnsi"/>
                <w:sz w:val="24"/>
                <w:szCs w:val="24"/>
              </w:rPr>
            </w:pPr>
          </w:p>
        </w:tc>
        <w:tc>
          <w:tcPr>
            <w:tcW w:w="932" w:type="dxa"/>
          </w:tcPr>
          <w:p w:rsidR="002B7448" w:rsidRPr="00DF3598" w:rsidRDefault="002B7448" w:rsidP="002B7448">
            <w:pPr>
              <w:jc w:val="center"/>
              <w:rPr>
                <w:rFonts w:asciiTheme="minorHAnsi" w:hAnsiTheme="minorHAnsi" w:cstheme="minorHAnsi"/>
                <w:sz w:val="24"/>
                <w:szCs w:val="24"/>
              </w:rPr>
            </w:pPr>
            <w:r w:rsidRPr="00DF3598">
              <w:rPr>
                <w:rFonts w:asciiTheme="minorHAnsi" w:hAnsiTheme="minorHAnsi" w:cstheme="minorHAnsi"/>
                <w:sz w:val="24"/>
                <w:szCs w:val="24"/>
              </w:rPr>
              <w:t>Target</w:t>
            </w:r>
          </w:p>
        </w:tc>
        <w:tc>
          <w:tcPr>
            <w:tcW w:w="933" w:type="dxa"/>
          </w:tcPr>
          <w:p w:rsidR="002B7448" w:rsidRPr="00DF3598" w:rsidRDefault="002B7448" w:rsidP="002B7448">
            <w:pPr>
              <w:jc w:val="center"/>
              <w:rPr>
                <w:rFonts w:asciiTheme="minorHAnsi" w:hAnsiTheme="minorHAnsi" w:cstheme="minorHAnsi"/>
                <w:sz w:val="24"/>
                <w:szCs w:val="24"/>
              </w:rPr>
            </w:pPr>
            <w:r w:rsidRPr="00DF3598">
              <w:rPr>
                <w:rFonts w:asciiTheme="minorHAnsi" w:hAnsiTheme="minorHAnsi" w:cstheme="minorHAnsi"/>
                <w:sz w:val="24"/>
                <w:szCs w:val="24"/>
              </w:rPr>
              <w:t>Accom</w:t>
            </w:r>
          </w:p>
        </w:tc>
        <w:tc>
          <w:tcPr>
            <w:tcW w:w="932" w:type="dxa"/>
          </w:tcPr>
          <w:p w:rsidR="002B7448" w:rsidRPr="00DF3598" w:rsidRDefault="002B7448" w:rsidP="002B7448">
            <w:pPr>
              <w:jc w:val="center"/>
              <w:rPr>
                <w:rFonts w:asciiTheme="minorHAnsi" w:hAnsiTheme="minorHAnsi" w:cstheme="minorHAnsi"/>
                <w:sz w:val="24"/>
                <w:szCs w:val="24"/>
              </w:rPr>
            </w:pPr>
            <w:r w:rsidRPr="00DF3598">
              <w:rPr>
                <w:rFonts w:asciiTheme="minorHAnsi" w:hAnsiTheme="minorHAnsi" w:cstheme="minorHAnsi"/>
                <w:sz w:val="24"/>
                <w:szCs w:val="24"/>
              </w:rPr>
              <w:t>%</w:t>
            </w:r>
          </w:p>
        </w:tc>
        <w:tc>
          <w:tcPr>
            <w:tcW w:w="932" w:type="dxa"/>
          </w:tcPr>
          <w:p w:rsidR="002B7448" w:rsidRPr="00DF3598" w:rsidRDefault="002B7448" w:rsidP="002B7448">
            <w:pPr>
              <w:jc w:val="center"/>
              <w:rPr>
                <w:rFonts w:asciiTheme="minorHAnsi" w:hAnsiTheme="minorHAnsi" w:cstheme="minorHAnsi"/>
                <w:sz w:val="24"/>
                <w:szCs w:val="24"/>
              </w:rPr>
            </w:pPr>
            <w:r w:rsidRPr="00DF3598">
              <w:rPr>
                <w:rFonts w:asciiTheme="minorHAnsi" w:hAnsiTheme="minorHAnsi" w:cstheme="minorHAnsi"/>
                <w:sz w:val="24"/>
                <w:szCs w:val="24"/>
              </w:rPr>
              <w:t>Target</w:t>
            </w:r>
          </w:p>
        </w:tc>
        <w:tc>
          <w:tcPr>
            <w:tcW w:w="932" w:type="dxa"/>
          </w:tcPr>
          <w:p w:rsidR="002B7448" w:rsidRPr="00DF3598" w:rsidRDefault="002B7448" w:rsidP="002B7448">
            <w:pPr>
              <w:jc w:val="center"/>
              <w:rPr>
                <w:rFonts w:asciiTheme="minorHAnsi" w:hAnsiTheme="minorHAnsi" w:cstheme="minorHAnsi"/>
                <w:sz w:val="24"/>
                <w:szCs w:val="24"/>
              </w:rPr>
            </w:pPr>
            <w:r w:rsidRPr="00DF3598">
              <w:rPr>
                <w:rFonts w:asciiTheme="minorHAnsi" w:hAnsiTheme="minorHAnsi" w:cstheme="minorHAnsi"/>
                <w:sz w:val="24"/>
                <w:szCs w:val="24"/>
              </w:rPr>
              <w:t>Accom</w:t>
            </w:r>
          </w:p>
        </w:tc>
        <w:tc>
          <w:tcPr>
            <w:tcW w:w="932" w:type="dxa"/>
          </w:tcPr>
          <w:p w:rsidR="002B7448" w:rsidRPr="00DF3598" w:rsidRDefault="002B7448" w:rsidP="002B7448">
            <w:pPr>
              <w:jc w:val="center"/>
              <w:rPr>
                <w:rFonts w:asciiTheme="minorHAnsi" w:hAnsiTheme="minorHAnsi" w:cstheme="minorHAnsi"/>
                <w:sz w:val="24"/>
                <w:szCs w:val="24"/>
              </w:rPr>
            </w:pPr>
            <w:r w:rsidRPr="00DF3598">
              <w:rPr>
                <w:rFonts w:asciiTheme="minorHAnsi" w:hAnsiTheme="minorHAnsi" w:cstheme="minorHAnsi"/>
                <w:sz w:val="24"/>
                <w:szCs w:val="24"/>
              </w:rPr>
              <w:t>%</w:t>
            </w:r>
          </w:p>
        </w:tc>
        <w:tc>
          <w:tcPr>
            <w:tcW w:w="932" w:type="dxa"/>
          </w:tcPr>
          <w:p w:rsidR="002B7448" w:rsidRPr="00DF3598" w:rsidRDefault="002B7448" w:rsidP="002B7448">
            <w:pPr>
              <w:jc w:val="center"/>
              <w:rPr>
                <w:rFonts w:asciiTheme="minorHAnsi" w:hAnsiTheme="minorHAnsi" w:cstheme="minorHAnsi"/>
                <w:sz w:val="24"/>
                <w:szCs w:val="24"/>
              </w:rPr>
            </w:pPr>
            <w:r w:rsidRPr="00DF3598">
              <w:rPr>
                <w:rFonts w:asciiTheme="minorHAnsi" w:hAnsiTheme="minorHAnsi" w:cstheme="minorHAnsi"/>
                <w:sz w:val="24"/>
                <w:szCs w:val="24"/>
              </w:rPr>
              <w:t>Target</w:t>
            </w:r>
          </w:p>
        </w:tc>
        <w:tc>
          <w:tcPr>
            <w:tcW w:w="932" w:type="dxa"/>
          </w:tcPr>
          <w:p w:rsidR="002B7448" w:rsidRPr="00DF3598" w:rsidRDefault="002B7448" w:rsidP="002B7448">
            <w:pPr>
              <w:jc w:val="center"/>
              <w:rPr>
                <w:rFonts w:asciiTheme="minorHAnsi" w:hAnsiTheme="minorHAnsi" w:cstheme="minorHAnsi"/>
                <w:sz w:val="24"/>
                <w:szCs w:val="24"/>
              </w:rPr>
            </w:pPr>
            <w:r w:rsidRPr="00DF3598">
              <w:rPr>
                <w:rFonts w:asciiTheme="minorHAnsi" w:hAnsiTheme="minorHAnsi" w:cstheme="minorHAnsi"/>
                <w:sz w:val="24"/>
                <w:szCs w:val="24"/>
              </w:rPr>
              <w:t>Accom</w:t>
            </w:r>
          </w:p>
        </w:tc>
        <w:tc>
          <w:tcPr>
            <w:tcW w:w="932" w:type="dxa"/>
          </w:tcPr>
          <w:p w:rsidR="002B7448" w:rsidRPr="00DF3598" w:rsidRDefault="002B7448" w:rsidP="002B7448">
            <w:pPr>
              <w:jc w:val="center"/>
              <w:rPr>
                <w:rFonts w:asciiTheme="minorHAnsi" w:hAnsiTheme="minorHAnsi" w:cstheme="minorHAnsi"/>
                <w:sz w:val="24"/>
                <w:szCs w:val="24"/>
              </w:rPr>
            </w:pPr>
            <w:r w:rsidRPr="00DF3598">
              <w:rPr>
                <w:rFonts w:asciiTheme="minorHAnsi" w:hAnsiTheme="minorHAnsi" w:cstheme="minorHAnsi"/>
                <w:sz w:val="24"/>
                <w:szCs w:val="24"/>
              </w:rPr>
              <w:t>%</w:t>
            </w:r>
          </w:p>
        </w:tc>
      </w:tr>
      <w:tr w:rsidR="002B7448" w:rsidRPr="00DF3598" w:rsidTr="00994671">
        <w:tc>
          <w:tcPr>
            <w:tcW w:w="1187" w:type="dxa"/>
          </w:tcPr>
          <w:p w:rsidR="002B7448" w:rsidRPr="00DF3598" w:rsidRDefault="002B7448" w:rsidP="004834E6">
            <w:pPr>
              <w:jc w:val="both"/>
              <w:rPr>
                <w:rFonts w:asciiTheme="minorHAnsi" w:hAnsiTheme="minorHAnsi" w:cstheme="minorHAnsi"/>
                <w:sz w:val="24"/>
                <w:szCs w:val="24"/>
              </w:rPr>
            </w:pPr>
            <w:r w:rsidRPr="00DF3598">
              <w:rPr>
                <w:rFonts w:asciiTheme="minorHAnsi" w:hAnsiTheme="minorHAnsi" w:cstheme="minorHAnsi"/>
                <w:sz w:val="24"/>
                <w:szCs w:val="24"/>
              </w:rPr>
              <w:t>Profiled</w:t>
            </w:r>
          </w:p>
        </w:tc>
        <w:tc>
          <w:tcPr>
            <w:tcW w:w="932" w:type="dxa"/>
            <w:vAlign w:val="bottom"/>
          </w:tcPr>
          <w:p w:rsidR="002B7448" w:rsidRPr="00DF3598" w:rsidRDefault="002B7448" w:rsidP="00BF6244">
            <w:pPr>
              <w:jc w:val="center"/>
              <w:rPr>
                <w:rFonts w:asciiTheme="minorHAnsi" w:eastAsia="Times New Roman" w:hAnsiTheme="minorHAnsi" w:cstheme="minorHAnsi"/>
                <w:color w:val="000000"/>
                <w:sz w:val="24"/>
                <w:szCs w:val="24"/>
              </w:rPr>
            </w:pPr>
            <w:r w:rsidRPr="00DF3598">
              <w:rPr>
                <w:rFonts w:asciiTheme="minorHAnsi" w:eastAsia="Times New Roman" w:hAnsiTheme="minorHAnsi" w:cstheme="minorHAnsi"/>
                <w:color w:val="000000"/>
                <w:sz w:val="24"/>
                <w:szCs w:val="24"/>
              </w:rPr>
              <w:t>36,064</w:t>
            </w:r>
          </w:p>
        </w:tc>
        <w:tc>
          <w:tcPr>
            <w:tcW w:w="933" w:type="dxa"/>
            <w:vAlign w:val="bottom"/>
          </w:tcPr>
          <w:p w:rsidR="002B7448" w:rsidRPr="00DF3598" w:rsidRDefault="002B7448" w:rsidP="00BF6244">
            <w:pPr>
              <w:jc w:val="center"/>
              <w:rPr>
                <w:rFonts w:asciiTheme="minorHAnsi" w:eastAsia="Times New Roman" w:hAnsiTheme="minorHAnsi" w:cstheme="minorHAnsi"/>
                <w:color w:val="000000"/>
                <w:sz w:val="24"/>
                <w:szCs w:val="24"/>
              </w:rPr>
            </w:pPr>
            <w:r w:rsidRPr="00DF3598">
              <w:rPr>
                <w:rFonts w:asciiTheme="minorHAnsi" w:eastAsia="Times New Roman" w:hAnsiTheme="minorHAnsi" w:cstheme="minorHAnsi"/>
                <w:color w:val="000000"/>
                <w:sz w:val="24"/>
                <w:szCs w:val="24"/>
              </w:rPr>
              <w:t>27,287</w:t>
            </w:r>
          </w:p>
        </w:tc>
        <w:tc>
          <w:tcPr>
            <w:tcW w:w="932" w:type="dxa"/>
            <w:vAlign w:val="bottom"/>
          </w:tcPr>
          <w:p w:rsidR="002B7448" w:rsidRPr="00DF3598" w:rsidRDefault="002B7448" w:rsidP="00BF6244">
            <w:pPr>
              <w:jc w:val="center"/>
              <w:rPr>
                <w:rFonts w:asciiTheme="minorHAnsi" w:eastAsia="Times New Roman" w:hAnsiTheme="minorHAnsi" w:cstheme="minorHAnsi"/>
                <w:color w:val="000000"/>
                <w:sz w:val="24"/>
                <w:szCs w:val="24"/>
              </w:rPr>
            </w:pPr>
            <w:r w:rsidRPr="00DF3598">
              <w:rPr>
                <w:rFonts w:asciiTheme="minorHAnsi" w:eastAsia="Times New Roman" w:hAnsiTheme="minorHAnsi" w:cstheme="minorHAnsi"/>
                <w:color w:val="000000"/>
                <w:sz w:val="24"/>
                <w:szCs w:val="24"/>
              </w:rPr>
              <w:t>76%</w:t>
            </w:r>
          </w:p>
        </w:tc>
        <w:tc>
          <w:tcPr>
            <w:tcW w:w="932" w:type="dxa"/>
            <w:vAlign w:val="center"/>
          </w:tcPr>
          <w:p w:rsidR="002B7448" w:rsidRPr="00DF3598" w:rsidRDefault="008464B2" w:rsidP="008464B2">
            <w:pPr>
              <w:jc w:val="center"/>
              <w:rPr>
                <w:rFonts w:asciiTheme="minorHAnsi" w:hAnsiTheme="minorHAnsi" w:cstheme="minorHAnsi"/>
                <w:sz w:val="24"/>
                <w:szCs w:val="24"/>
              </w:rPr>
            </w:pPr>
            <w:r w:rsidRPr="00DF3598">
              <w:rPr>
                <w:rFonts w:asciiTheme="minorHAnsi" w:eastAsia="Microsoft YaHei" w:hAnsiTheme="minorHAnsi" w:cstheme="minorHAnsi"/>
                <w:color w:val="000000"/>
                <w:kern w:val="24"/>
                <w:sz w:val="24"/>
                <w:szCs w:val="24"/>
                <w:lang w:val="en-PH"/>
              </w:rPr>
              <w:t>22,300</w:t>
            </w:r>
          </w:p>
        </w:tc>
        <w:tc>
          <w:tcPr>
            <w:tcW w:w="932" w:type="dxa"/>
            <w:vAlign w:val="center"/>
          </w:tcPr>
          <w:p w:rsidR="002B7448" w:rsidRPr="00DF3598" w:rsidRDefault="008464B2" w:rsidP="008464B2">
            <w:pPr>
              <w:jc w:val="center"/>
              <w:rPr>
                <w:rFonts w:asciiTheme="minorHAnsi" w:hAnsiTheme="minorHAnsi" w:cstheme="minorHAnsi"/>
                <w:sz w:val="24"/>
                <w:szCs w:val="24"/>
              </w:rPr>
            </w:pPr>
            <w:r w:rsidRPr="00DF3598">
              <w:rPr>
                <w:rFonts w:asciiTheme="minorHAnsi" w:eastAsia="Times New Roman" w:hAnsiTheme="minorHAnsi" w:cstheme="minorHAnsi"/>
                <w:color w:val="000000" w:themeColor="text1"/>
                <w:kern w:val="24"/>
                <w:sz w:val="24"/>
                <w:szCs w:val="24"/>
              </w:rPr>
              <w:t>26857</w:t>
            </w:r>
          </w:p>
        </w:tc>
        <w:tc>
          <w:tcPr>
            <w:tcW w:w="932" w:type="dxa"/>
          </w:tcPr>
          <w:p w:rsidR="002B7448" w:rsidRPr="00DF3598" w:rsidRDefault="008464B2" w:rsidP="004834E6">
            <w:pPr>
              <w:jc w:val="both"/>
              <w:rPr>
                <w:rFonts w:asciiTheme="minorHAnsi" w:hAnsiTheme="minorHAnsi" w:cstheme="minorHAnsi"/>
                <w:sz w:val="24"/>
                <w:szCs w:val="24"/>
              </w:rPr>
            </w:pPr>
            <w:r w:rsidRPr="00DF3598">
              <w:rPr>
                <w:rFonts w:asciiTheme="minorHAnsi" w:hAnsiTheme="minorHAnsi" w:cstheme="minorHAnsi"/>
                <w:sz w:val="24"/>
                <w:szCs w:val="24"/>
              </w:rPr>
              <w:t>120%</w:t>
            </w:r>
          </w:p>
        </w:tc>
        <w:tc>
          <w:tcPr>
            <w:tcW w:w="932" w:type="dxa"/>
          </w:tcPr>
          <w:p w:rsidR="002B7448" w:rsidRPr="00DF3598" w:rsidRDefault="001B327F" w:rsidP="004834E6">
            <w:pPr>
              <w:jc w:val="both"/>
              <w:rPr>
                <w:rFonts w:asciiTheme="minorHAnsi" w:hAnsiTheme="minorHAnsi" w:cstheme="minorHAnsi"/>
                <w:sz w:val="24"/>
                <w:szCs w:val="24"/>
              </w:rPr>
            </w:pPr>
            <w:r w:rsidRPr="00DF3598">
              <w:rPr>
                <w:rFonts w:asciiTheme="minorHAnsi" w:hAnsiTheme="minorHAnsi" w:cstheme="minorHAnsi"/>
                <w:sz w:val="24"/>
                <w:szCs w:val="24"/>
              </w:rPr>
              <w:t>37541</w:t>
            </w:r>
          </w:p>
        </w:tc>
        <w:tc>
          <w:tcPr>
            <w:tcW w:w="932" w:type="dxa"/>
          </w:tcPr>
          <w:p w:rsidR="002B7448" w:rsidRPr="00DF3598" w:rsidRDefault="00EC613C" w:rsidP="004834E6">
            <w:pPr>
              <w:jc w:val="both"/>
              <w:rPr>
                <w:rFonts w:asciiTheme="minorHAnsi" w:hAnsiTheme="minorHAnsi" w:cstheme="minorHAnsi"/>
                <w:sz w:val="24"/>
                <w:szCs w:val="24"/>
              </w:rPr>
            </w:pPr>
            <w:r w:rsidRPr="00DF3598">
              <w:rPr>
                <w:rFonts w:asciiTheme="minorHAnsi" w:hAnsiTheme="minorHAnsi" w:cstheme="minorHAnsi"/>
                <w:sz w:val="24"/>
                <w:szCs w:val="24"/>
              </w:rPr>
              <w:t>18025</w:t>
            </w:r>
          </w:p>
        </w:tc>
        <w:tc>
          <w:tcPr>
            <w:tcW w:w="932" w:type="dxa"/>
          </w:tcPr>
          <w:p w:rsidR="002B7448" w:rsidRPr="00DF3598" w:rsidRDefault="00EC613C" w:rsidP="004834E6">
            <w:pPr>
              <w:jc w:val="both"/>
              <w:rPr>
                <w:rFonts w:asciiTheme="minorHAnsi" w:hAnsiTheme="minorHAnsi" w:cstheme="minorHAnsi"/>
                <w:sz w:val="24"/>
                <w:szCs w:val="24"/>
              </w:rPr>
            </w:pPr>
            <w:r w:rsidRPr="00DF3598">
              <w:rPr>
                <w:rFonts w:asciiTheme="minorHAnsi" w:hAnsiTheme="minorHAnsi" w:cstheme="minorHAnsi"/>
                <w:sz w:val="24"/>
                <w:szCs w:val="24"/>
              </w:rPr>
              <w:t>48%</w:t>
            </w:r>
          </w:p>
        </w:tc>
      </w:tr>
      <w:tr w:rsidR="002B7448" w:rsidRPr="00DF3598" w:rsidTr="00994671">
        <w:tc>
          <w:tcPr>
            <w:tcW w:w="1187" w:type="dxa"/>
          </w:tcPr>
          <w:p w:rsidR="002B7448" w:rsidRPr="00DF3598" w:rsidRDefault="002B7448" w:rsidP="004834E6">
            <w:pPr>
              <w:jc w:val="both"/>
              <w:rPr>
                <w:rFonts w:asciiTheme="minorHAnsi" w:hAnsiTheme="minorHAnsi" w:cstheme="minorHAnsi"/>
                <w:sz w:val="24"/>
                <w:szCs w:val="24"/>
              </w:rPr>
            </w:pPr>
            <w:r w:rsidRPr="00DF3598">
              <w:rPr>
                <w:rFonts w:asciiTheme="minorHAnsi" w:hAnsiTheme="minorHAnsi" w:cstheme="minorHAnsi"/>
                <w:sz w:val="24"/>
                <w:szCs w:val="24"/>
              </w:rPr>
              <w:t>Enrolled</w:t>
            </w:r>
          </w:p>
        </w:tc>
        <w:tc>
          <w:tcPr>
            <w:tcW w:w="932" w:type="dxa"/>
            <w:vAlign w:val="bottom"/>
          </w:tcPr>
          <w:p w:rsidR="002B7448" w:rsidRPr="00DF3598" w:rsidRDefault="002B7448" w:rsidP="00BF6244">
            <w:pPr>
              <w:jc w:val="center"/>
              <w:rPr>
                <w:rFonts w:asciiTheme="minorHAnsi" w:eastAsia="Times New Roman" w:hAnsiTheme="minorHAnsi" w:cstheme="minorHAnsi"/>
                <w:color w:val="000000"/>
                <w:sz w:val="24"/>
                <w:szCs w:val="24"/>
              </w:rPr>
            </w:pPr>
            <w:r w:rsidRPr="00DF3598">
              <w:rPr>
                <w:rFonts w:asciiTheme="minorHAnsi" w:eastAsia="Times New Roman" w:hAnsiTheme="minorHAnsi" w:cstheme="minorHAnsi"/>
                <w:color w:val="000000"/>
                <w:sz w:val="24"/>
                <w:szCs w:val="24"/>
              </w:rPr>
              <w:t>64,119</w:t>
            </w:r>
          </w:p>
        </w:tc>
        <w:tc>
          <w:tcPr>
            <w:tcW w:w="933" w:type="dxa"/>
            <w:vAlign w:val="bottom"/>
          </w:tcPr>
          <w:p w:rsidR="002B7448" w:rsidRPr="00DF3598" w:rsidRDefault="002B7448" w:rsidP="00BF6244">
            <w:pPr>
              <w:jc w:val="center"/>
              <w:rPr>
                <w:rFonts w:asciiTheme="minorHAnsi" w:eastAsia="Times New Roman" w:hAnsiTheme="minorHAnsi" w:cstheme="minorHAnsi"/>
                <w:color w:val="000000"/>
                <w:sz w:val="24"/>
                <w:szCs w:val="24"/>
              </w:rPr>
            </w:pPr>
            <w:r w:rsidRPr="00DF3598">
              <w:rPr>
                <w:rFonts w:asciiTheme="minorHAnsi" w:eastAsia="Times New Roman" w:hAnsiTheme="minorHAnsi" w:cstheme="minorHAnsi"/>
                <w:color w:val="000000"/>
                <w:sz w:val="24"/>
                <w:szCs w:val="24"/>
              </w:rPr>
              <w:t>60,922</w:t>
            </w:r>
          </w:p>
        </w:tc>
        <w:tc>
          <w:tcPr>
            <w:tcW w:w="932" w:type="dxa"/>
            <w:vAlign w:val="bottom"/>
          </w:tcPr>
          <w:p w:rsidR="002B7448" w:rsidRPr="00DF3598" w:rsidRDefault="002B7448" w:rsidP="00BF6244">
            <w:pPr>
              <w:jc w:val="center"/>
              <w:rPr>
                <w:rFonts w:asciiTheme="minorHAnsi" w:eastAsia="Times New Roman" w:hAnsiTheme="minorHAnsi" w:cstheme="minorHAnsi"/>
                <w:color w:val="000000"/>
                <w:sz w:val="24"/>
                <w:szCs w:val="24"/>
              </w:rPr>
            </w:pPr>
            <w:r w:rsidRPr="00DF3598">
              <w:rPr>
                <w:rFonts w:asciiTheme="minorHAnsi" w:eastAsia="Times New Roman" w:hAnsiTheme="minorHAnsi" w:cstheme="minorHAnsi"/>
                <w:color w:val="000000"/>
                <w:sz w:val="24"/>
                <w:szCs w:val="24"/>
              </w:rPr>
              <w:t>95%</w:t>
            </w:r>
          </w:p>
        </w:tc>
        <w:tc>
          <w:tcPr>
            <w:tcW w:w="932" w:type="dxa"/>
            <w:vAlign w:val="center"/>
          </w:tcPr>
          <w:p w:rsidR="002B7448" w:rsidRPr="00DF3598" w:rsidRDefault="008464B2" w:rsidP="008464B2">
            <w:pPr>
              <w:jc w:val="center"/>
              <w:rPr>
                <w:rFonts w:asciiTheme="minorHAnsi" w:hAnsiTheme="minorHAnsi" w:cstheme="minorHAnsi"/>
                <w:sz w:val="24"/>
                <w:szCs w:val="24"/>
              </w:rPr>
            </w:pPr>
            <w:r w:rsidRPr="00DF3598">
              <w:rPr>
                <w:rFonts w:asciiTheme="minorHAnsi" w:eastAsia="Microsoft YaHei" w:hAnsiTheme="minorHAnsi" w:cstheme="minorHAnsi"/>
                <w:color w:val="000000"/>
                <w:kern w:val="24"/>
                <w:sz w:val="24"/>
                <w:szCs w:val="24"/>
                <w:lang w:val="en-PH"/>
              </w:rPr>
              <w:t>65,018</w:t>
            </w:r>
          </w:p>
        </w:tc>
        <w:tc>
          <w:tcPr>
            <w:tcW w:w="932" w:type="dxa"/>
            <w:vAlign w:val="center"/>
          </w:tcPr>
          <w:p w:rsidR="002B7448" w:rsidRPr="00DF3598" w:rsidRDefault="008464B2" w:rsidP="008464B2">
            <w:pPr>
              <w:jc w:val="center"/>
              <w:rPr>
                <w:rFonts w:asciiTheme="minorHAnsi" w:hAnsiTheme="minorHAnsi" w:cstheme="minorHAnsi"/>
                <w:sz w:val="24"/>
                <w:szCs w:val="24"/>
              </w:rPr>
            </w:pPr>
            <w:r w:rsidRPr="00DF3598">
              <w:rPr>
                <w:rFonts w:asciiTheme="minorHAnsi" w:eastAsia="Times New Roman" w:hAnsiTheme="minorHAnsi" w:cstheme="minorHAnsi"/>
                <w:color w:val="000000" w:themeColor="text1"/>
                <w:kern w:val="24"/>
                <w:sz w:val="24"/>
                <w:szCs w:val="24"/>
              </w:rPr>
              <w:t>51092</w:t>
            </w:r>
          </w:p>
        </w:tc>
        <w:tc>
          <w:tcPr>
            <w:tcW w:w="932" w:type="dxa"/>
          </w:tcPr>
          <w:p w:rsidR="002B7448" w:rsidRPr="00DF3598" w:rsidRDefault="008464B2" w:rsidP="008464B2">
            <w:pPr>
              <w:jc w:val="both"/>
              <w:rPr>
                <w:rFonts w:asciiTheme="minorHAnsi" w:hAnsiTheme="minorHAnsi" w:cstheme="minorHAnsi"/>
                <w:sz w:val="24"/>
                <w:szCs w:val="24"/>
              </w:rPr>
            </w:pPr>
            <w:r w:rsidRPr="00DF3598">
              <w:rPr>
                <w:rFonts w:asciiTheme="minorHAnsi" w:hAnsiTheme="minorHAnsi" w:cstheme="minorHAnsi"/>
                <w:sz w:val="24"/>
                <w:szCs w:val="24"/>
              </w:rPr>
              <w:t>79%</w:t>
            </w:r>
          </w:p>
        </w:tc>
        <w:tc>
          <w:tcPr>
            <w:tcW w:w="932" w:type="dxa"/>
          </w:tcPr>
          <w:p w:rsidR="002B7448" w:rsidRPr="00DF3598" w:rsidRDefault="00EC613C" w:rsidP="004834E6">
            <w:pPr>
              <w:jc w:val="both"/>
              <w:rPr>
                <w:rFonts w:asciiTheme="minorHAnsi" w:hAnsiTheme="minorHAnsi" w:cstheme="minorHAnsi"/>
                <w:sz w:val="24"/>
                <w:szCs w:val="24"/>
              </w:rPr>
            </w:pPr>
            <w:r w:rsidRPr="00DF3598">
              <w:rPr>
                <w:rFonts w:asciiTheme="minorHAnsi" w:hAnsiTheme="minorHAnsi" w:cstheme="minorHAnsi"/>
                <w:sz w:val="24"/>
                <w:szCs w:val="24"/>
              </w:rPr>
              <w:t>65018</w:t>
            </w:r>
          </w:p>
        </w:tc>
        <w:tc>
          <w:tcPr>
            <w:tcW w:w="932" w:type="dxa"/>
          </w:tcPr>
          <w:p w:rsidR="002B7448" w:rsidRPr="00DF3598" w:rsidRDefault="00EC613C" w:rsidP="004834E6">
            <w:pPr>
              <w:jc w:val="both"/>
              <w:rPr>
                <w:rFonts w:asciiTheme="minorHAnsi" w:hAnsiTheme="minorHAnsi" w:cstheme="minorHAnsi"/>
                <w:sz w:val="24"/>
                <w:szCs w:val="24"/>
              </w:rPr>
            </w:pPr>
            <w:r w:rsidRPr="00DF3598">
              <w:rPr>
                <w:rFonts w:asciiTheme="minorHAnsi" w:hAnsiTheme="minorHAnsi" w:cstheme="minorHAnsi"/>
                <w:sz w:val="24"/>
                <w:szCs w:val="24"/>
              </w:rPr>
              <w:t>33650</w:t>
            </w:r>
          </w:p>
        </w:tc>
        <w:tc>
          <w:tcPr>
            <w:tcW w:w="932" w:type="dxa"/>
          </w:tcPr>
          <w:p w:rsidR="002B7448" w:rsidRPr="00DF3598" w:rsidRDefault="00EC613C" w:rsidP="004834E6">
            <w:pPr>
              <w:jc w:val="both"/>
              <w:rPr>
                <w:rFonts w:asciiTheme="minorHAnsi" w:hAnsiTheme="minorHAnsi" w:cstheme="minorHAnsi"/>
                <w:sz w:val="24"/>
                <w:szCs w:val="24"/>
              </w:rPr>
            </w:pPr>
            <w:r w:rsidRPr="00DF3598">
              <w:rPr>
                <w:rFonts w:asciiTheme="minorHAnsi" w:hAnsiTheme="minorHAnsi" w:cstheme="minorHAnsi"/>
                <w:sz w:val="24"/>
                <w:szCs w:val="24"/>
              </w:rPr>
              <w:t>52%</w:t>
            </w:r>
          </w:p>
        </w:tc>
      </w:tr>
      <w:tr w:rsidR="002B7448" w:rsidRPr="00DF3598" w:rsidTr="00994671">
        <w:tc>
          <w:tcPr>
            <w:tcW w:w="1187" w:type="dxa"/>
          </w:tcPr>
          <w:p w:rsidR="002B7448" w:rsidRPr="00DF3598" w:rsidRDefault="002B7448" w:rsidP="004834E6">
            <w:pPr>
              <w:jc w:val="both"/>
              <w:rPr>
                <w:rFonts w:asciiTheme="minorHAnsi" w:hAnsiTheme="minorHAnsi" w:cstheme="minorHAnsi"/>
                <w:sz w:val="24"/>
                <w:szCs w:val="24"/>
              </w:rPr>
            </w:pPr>
            <w:r w:rsidRPr="00DF3598">
              <w:rPr>
                <w:rFonts w:asciiTheme="minorHAnsi" w:hAnsiTheme="minorHAnsi" w:cstheme="minorHAnsi"/>
                <w:sz w:val="24"/>
                <w:szCs w:val="24"/>
              </w:rPr>
              <w:t>Graduate</w:t>
            </w:r>
          </w:p>
        </w:tc>
        <w:tc>
          <w:tcPr>
            <w:tcW w:w="932" w:type="dxa"/>
            <w:vAlign w:val="bottom"/>
          </w:tcPr>
          <w:p w:rsidR="002B7448" w:rsidRPr="00DF3598" w:rsidRDefault="002B7448" w:rsidP="00BF6244">
            <w:pPr>
              <w:jc w:val="center"/>
              <w:rPr>
                <w:rFonts w:asciiTheme="minorHAnsi" w:eastAsia="Times New Roman" w:hAnsiTheme="minorHAnsi" w:cstheme="minorHAnsi"/>
                <w:color w:val="000000"/>
                <w:sz w:val="24"/>
                <w:szCs w:val="24"/>
              </w:rPr>
            </w:pPr>
            <w:r w:rsidRPr="00DF3598">
              <w:rPr>
                <w:rFonts w:asciiTheme="minorHAnsi" w:eastAsia="Times New Roman" w:hAnsiTheme="minorHAnsi" w:cstheme="minorHAnsi"/>
                <w:color w:val="000000"/>
                <w:sz w:val="24"/>
                <w:szCs w:val="24"/>
              </w:rPr>
              <w:t>57,839</w:t>
            </w:r>
          </w:p>
        </w:tc>
        <w:tc>
          <w:tcPr>
            <w:tcW w:w="933" w:type="dxa"/>
            <w:vAlign w:val="bottom"/>
          </w:tcPr>
          <w:p w:rsidR="002B7448" w:rsidRPr="00DF3598" w:rsidRDefault="002B7448" w:rsidP="00BF6244">
            <w:pPr>
              <w:jc w:val="center"/>
              <w:rPr>
                <w:rFonts w:asciiTheme="minorHAnsi" w:eastAsia="Times New Roman" w:hAnsiTheme="minorHAnsi" w:cstheme="minorHAnsi"/>
                <w:color w:val="000000"/>
                <w:sz w:val="24"/>
                <w:szCs w:val="24"/>
              </w:rPr>
            </w:pPr>
            <w:r w:rsidRPr="00DF3598">
              <w:rPr>
                <w:rFonts w:asciiTheme="minorHAnsi" w:eastAsia="Times New Roman" w:hAnsiTheme="minorHAnsi" w:cstheme="minorHAnsi"/>
                <w:color w:val="000000"/>
                <w:sz w:val="24"/>
                <w:szCs w:val="24"/>
              </w:rPr>
              <w:t>55,214</w:t>
            </w:r>
          </w:p>
        </w:tc>
        <w:tc>
          <w:tcPr>
            <w:tcW w:w="932" w:type="dxa"/>
            <w:vAlign w:val="bottom"/>
          </w:tcPr>
          <w:p w:rsidR="002B7448" w:rsidRPr="00DF3598" w:rsidRDefault="002B7448" w:rsidP="00BF6244">
            <w:pPr>
              <w:jc w:val="center"/>
              <w:rPr>
                <w:rFonts w:asciiTheme="minorHAnsi" w:eastAsia="Times New Roman" w:hAnsiTheme="minorHAnsi" w:cstheme="minorHAnsi"/>
                <w:color w:val="000000"/>
                <w:sz w:val="24"/>
                <w:szCs w:val="24"/>
              </w:rPr>
            </w:pPr>
            <w:r w:rsidRPr="00DF3598">
              <w:rPr>
                <w:rFonts w:asciiTheme="minorHAnsi" w:eastAsia="Times New Roman" w:hAnsiTheme="minorHAnsi" w:cstheme="minorHAnsi"/>
                <w:color w:val="000000"/>
                <w:sz w:val="24"/>
                <w:szCs w:val="24"/>
              </w:rPr>
              <w:t>95%</w:t>
            </w:r>
          </w:p>
        </w:tc>
        <w:tc>
          <w:tcPr>
            <w:tcW w:w="932" w:type="dxa"/>
            <w:vAlign w:val="center"/>
          </w:tcPr>
          <w:p w:rsidR="002B7448" w:rsidRPr="00DF3598" w:rsidRDefault="008464B2" w:rsidP="008464B2">
            <w:pPr>
              <w:jc w:val="center"/>
              <w:rPr>
                <w:rFonts w:asciiTheme="minorHAnsi" w:hAnsiTheme="minorHAnsi" w:cstheme="minorHAnsi"/>
                <w:sz w:val="24"/>
                <w:szCs w:val="24"/>
              </w:rPr>
            </w:pPr>
            <w:r w:rsidRPr="00DF3598">
              <w:rPr>
                <w:rFonts w:asciiTheme="minorHAnsi" w:eastAsia="Microsoft YaHei" w:hAnsiTheme="minorHAnsi" w:cstheme="minorHAnsi"/>
                <w:color w:val="000000"/>
                <w:kern w:val="24"/>
                <w:sz w:val="24"/>
                <w:szCs w:val="24"/>
                <w:lang w:val="en-PH"/>
              </w:rPr>
              <w:t>58,517</w:t>
            </w:r>
          </w:p>
        </w:tc>
        <w:tc>
          <w:tcPr>
            <w:tcW w:w="932" w:type="dxa"/>
            <w:vAlign w:val="center"/>
          </w:tcPr>
          <w:p w:rsidR="002B7448" w:rsidRPr="00DF3598" w:rsidRDefault="008464B2" w:rsidP="008464B2">
            <w:pPr>
              <w:jc w:val="center"/>
              <w:rPr>
                <w:rFonts w:asciiTheme="minorHAnsi" w:hAnsiTheme="minorHAnsi" w:cstheme="minorHAnsi"/>
                <w:sz w:val="24"/>
                <w:szCs w:val="24"/>
              </w:rPr>
            </w:pPr>
            <w:r w:rsidRPr="00DF3598">
              <w:rPr>
                <w:rFonts w:asciiTheme="minorHAnsi" w:eastAsia="Times New Roman" w:hAnsiTheme="minorHAnsi" w:cstheme="minorHAnsi"/>
                <w:color w:val="000000" w:themeColor="text1"/>
                <w:kern w:val="24"/>
                <w:sz w:val="24"/>
                <w:szCs w:val="24"/>
              </w:rPr>
              <w:t>52308</w:t>
            </w:r>
          </w:p>
        </w:tc>
        <w:tc>
          <w:tcPr>
            <w:tcW w:w="932" w:type="dxa"/>
          </w:tcPr>
          <w:p w:rsidR="002B7448" w:rsidRPr="00DF3598" w:rsidRDefault="008464B2" w:rsidP="004834E6">
            <w:pPr>
              <w:jc w:val="both"/>
              <w:rPr>
                <w:rFonts w:asciiTheme="minorHAnsi" w:hAnsiTheme="minorHAnsi" w:cstheme="minorHAnsi"/>
                <w:sz w:val="24"/>
                <w:szCs w:val="24"/>
              </w:rPr>
            </w:pPr>
            <w:r w:rsidRPr="00DF3598">
              <w:rPr>
                <w:rFonts w:asciiTheme="minorHAnsi" w:hAnsiTheme="minorHAnsi" w:cstheme="minorHAnsi"/>
                <w:sz w:val="24"/>
                <w:szCs w:val="24"/>
              </w:rPr>
              <w:t>89%</w:t>
            </w:r>
          </w:p>
        </w:tc>
        <w:tc>
          <w:tcPr>
            <w:tcW w:w="932" w:type="dxa"/>
          </w:tcPr>
          <w:p w:rsidR="002B7448" w:rsidRPr="00DF3598" w:rsidRDefault="00EC613C" w:rsidP="004834E6">
            <w:pPr>
              <w:jc w:val="both"/>
              <w:rPr>
                <w:rFonts w:asciiTheme="minorHAnsi" w:hAnsiTheme="minorHAnsi" w:cstheme="minorHAnsi"/>
                <w:sz w:val="24"/>
                <w:szCs w:val="24"/>
              </w:rPr>
            </w:pPr>
            <w:r w:rsidRPr="00DF3598">
              <w:rPr>
                <w:rFonts w:asciiTheme="minorHAnsi" w:hAnsiTheme="minorHAnsi" w:cstheme="minorHAnsi"/>
                <w:sz w:val="24"/>
                <w:szCs w:val="24"/>
              </w:rPr>
              <w:t>58517</w:t>
            </w:r>
          </w:p>
        </w:tc>
        <w:tc>
          <w:tcPr>
            <w:tcW w:w="932" w:type="dxa"/>
          </w:tcPr>
          <w:p w:rsidR="002B7448" w:rsidRPr="00DF3598" w:rsidRDefault="00EC613C" w:rsidP="004834E6">
            <w:pPr>
              <w:jc w:val="both"/>
              <w:rPr>
                <w:rFonts w:asciiTheme="minorHAnsi" w:hAnsiTheme="minorHAnsi" w:cstheme="minorHAnsi"/>
                <w:sz w:val="24"/>
                <w:szCs w:val="24"/>
              </w:rPr>
            </w:pPr>
            <w:r w:rsidRPr="00DF3598">
              <w:rPr>
                <w:rFonts w:asciiTheme="minorHAnsi" w:hAnsiTheme="minorHAnsi" w:cstheme="minorHAnsi"/>
                <w:sz w:val="24"/>
                <w:szCs w:val="24"/>
              </w:rPr>
              <w:t>30575</w:t>
            </w:r>
          </w:p>
        </w:tc>
        <w:tc>
          <w:tcPr>
            <w:tcW w:w="932" w:type="dxa"/>
          </w:tcPr>
          <w:p w:rsidR="002B7448" w:rsidRPr="00DF3598" w:rsidRDefault="00EC613C" w:rsidP="004834E6">
            <w:pPr>
              <w:jc w:val="both"/>
              <w:rPr>
                <w:rFonts w:asciiTheme="minorHAnsi" w:hAnsiTheme="minorHAnsi" w:cstheme="minorHAnsi"/>
                <w:sz w:val="24"/>
                <w:szCs w:val="24"/>
              </w:rPr>
            </w:pPr>
            <w:r w:rsidRPr="00DF3598">
              <w:rPr>
                <w:rFonts w:asciiTheme="minorHAnsi" w:hAnsiTheme="minorHAnsi" w:cstheme="minorHAnsi"/>
                <w:sz w:val="24"/>
                <w:szCs w:val="24"/>
              </w:rPr>
              <w:t>52%</w:t>
            </w:r>
          </w:p>
        </w:tc>
      </w:tr>
      <w:tr w:rsidR="002B7448" w:rsidRPr="00DF3598" w:rsidTr="00994671">
        <w:tc>
          <w:tcPr>
            <w:tcW w:w="1187" w:type="dxa"/>
          </w:tcPr>
          <w:p w:rsidR="002B7448" w:rsidRPr="00DF3598" w:rsidRDefault="002B7448" w:rsidP="004834E6">
            <w:pPr>
              <w:jc w:val="both"/>
              <w:rPr>
                <w:rFonts w:asciiTheme="minorHAnsi" w:hAnsiTheme="minorHAnsi" w:cstheme="minorHAnsi"/>
                <w:sz w:val="24"/>
                <w:szCs w:val="24"/>
              </w:rPr>
            </w:pPr>
            <w:r w:rsidRPr="00DF3598">
              <w:rPr>
                <w:rFonts w:asciiTheme="minorHAnsi" w:hAnsiTheme="minorHAnsi" w:cstheme="minorHAnsi"/>
                <w:sz w:val="24"/>
                <w:szCs w:val="24"/>
              </w:rPr>
              <w:t>Assessed</w:t>
            </w:r>
          </w:p>
        </w:tc>
        <w:tc>
          <w:tcPr>
            <w:tcW w:w="932" w:type="dxa"/>
            <w:vAlign w:val="bottom"/>
          </w:tcPr>
          <w:p w:rsidR="002B7448" w:rsidRPr="00DF3598" w:rsidRDefault="002B7448" w:rsidP="00BF6244">
            <w:pPr>
              <w:jc w:val="center"/>
              <w:rPr>
                <w:rFonts w:asciiTheme="minorHAnsi" w:eastAsia="Times New Roman" w:hAnsiTheme="minorHAnsi" w:cstheme="minorHAnsi"/>
                <w:color w:val="000000"/>
                <w:sz w:val="24"/>
                <w:szCs w:val="24"/>
              </w:rPr>
            </w:pPr>
            <w:r w:rsidRPr="00DF3598">
              <w:rPr>
                <w:rFonts w:asciiTheme="minorHAnsi" w:eastAsia="Times New Roman" w:hAnsiTheme="minorHAnsi" w:cstheme="minorHAnsi"/>
                <w:color w:val="000000"/>
                <w:sz w:val="24"/>
                <w:szCs w:val="24"/>
              </w:rPr>
              <w:t>39,483</w:t>
            </w:r>
          </w:p>
        </w:tc>
        <w:tc>
          <w:tcPr>
            <w:tcW w:w="933" w:type="dxa"/>
            <w:vAlign w:val="bottom"/>
          </w:tcPr>
          <w:p w:rsidR="002B7448" w:rsidRPr="00DF3598" w:rsidRDefault="002B7448" w:rsidP="00BF6244">
            <w:pPr>
              <w:jc w:val="center"/>
              <w:rPr>
                <w:rFonts w:asciiTheme="minorHAnsi" w:eastAsia="Times New Roman" w:hAnsiTheme="minorHAnsi" w:cstheme="minorHAnsi"/>
                <w:color w:val="000000"/>
                <w:sz w:val="24"/>
                <w:szCs w:val="24"/>
              </w:rPr>
            </w:pPr>
            <w:r w:rsidRPr="00DF3598">
              <w:rPr>
                <w:rFonts w:asciiTheme="minorHAnsi" w:eastAsia="Times New Roman" w:hAnsiTheme="minorHAnsi" w:cstheme="minorHAnsi"/>
                <w:color w:val="000000"/>
                <w:sz w:val="24"/>
                <w:szCs w:val="24"/>
              </w:rPr>
              <w:t>33,550</w:t>
            </w:r>
          </w:p>
        </w:tc>
        <w:tc>
          <w:tcPr>
            <w:tcW w:w="932" w:type="dxa"/>
            <w:vAlign w:val="bottom"/>
          </w:tcPr>
          <w:p w:rsidR="002B7448" w:rsidRPr="00DF3598" w:rsidRDefault="002B7448" w:rsidP="00BF6244">
            <w:pPr>
              <w:jc w:val="center"/>
              <w:rPr>
                <w:rFonts w:asciiTheme="minorHAnsi" w:eastAsia="Times New Roman" w:hAnsiTheme="minorHAnsi" w:cstheme="minorHAnsi"/>
                <w:color w:val="000000"/>
                <w:sz w:val="24"/>
                <w:szCs w:val="24"/>
              </w:rPr>
            </w:pPr>
            <w:r w:rsidRPr="00DF3598">
              <w:rPr>
                <w:rFonts w:asciiTheme="minorHAnsi" w:eastAsia="Times New Roman" w:hAnsiTheme="minorHAnsi" w:cstheme="minorHAnsi"/>
                <w:color w:val="000000"/>
                <w:sz w:val="24"/>
                <w:szCs w:val="24"/>
              </w:rPr>
              <w:t>85%</w:t>
            </w:r>
          </w:p>
        </w:tc>
        <w:tc>
          <w:tcPr>
            <w:tcW w:w="932" w:type="dxa"/>
            <w:vAlign w:val="center"/>
          </w:tcPr>
          <w:p w:rsidR="002B7448" w:rsidRPr="00DF3598" w:rsidRDefault="008464B2" w:rsidP="008464B2">
            <w:pPr>
              <w:jc w:val="center"/>
              <w:rPr>
                <w:rFonts w:asciiTheme="minorHAnsi" w:hAnsiTheme="minorHAnsi" w:cstheme="minorHAnsi"/>
                <w:sz w:val="24"/>
                <w:szCs w:val="24"/>
              </w:rPr>
            </w:pPr>
            <w:r w:rsidRPr="00DF3598">
              <w:rPr>
                <w:rFonts w:asciiTheme="minorHAnsi" w:eastAsia="Microsoft YaHei" w:hAnsiTheme="minorHAnsi" w:cstheme="minorHAnsi"/>
                <w:color w:val="000000"/>
                <w:kern w:val="24"/>
                <w:sz w:val="24"/>
                <w:szCs w:val="24"/>
                <w:lang w:val="en-PH"/>
              </w:rPr>
              <w:t>33,550</w:t>
            </w:r>
          </w:p>
        </w:tc>
        <w:tc>
          <w:tcPr>
            <w:tcW w:w="932" w:type="dxa"/>
            <w:vAlign w:val="center"/>
          </w:tcPr>
          <w:p w:rsidR="002B7448" w:rsidRPr="00DF3598" w:rsidRDefault="008464B2" w:rsidP="008464B2">
            <w:pPr>
              <w:jc w:val="center"/>
              <w:rPr>
                <w:rFonts w:asciiTheme="minorHAnsi" w:hAnsiTheme="minorHAnsi" w:cstheme="minorHAnsi"/>
                <w:sz w:val="24"/>
                <w:szCs w:val="24"/>
              </w:rPr>
            </w:pPr>
            <w:r w:rsidRPr="00DF3598">
              <w:rPr>
                <w:rFonts w:asciiTheme="minorHAnsi" w:eastAsia="Times New Roman" w:hAnsiTheme="minorHAnsi" w:cstheme="minorHAnsi"/>
                <w:color w:val="000000" w:themeColor="text1"/>
                <w:kern w:val="24"/>
                <w:sz w:val="24"/>
                <w:szCs w:val="24"/>
              </w:rPr>
              <w:t>35797</w:t>
            </w:r>
          </w:p>
        </w:tc>
        <w:tc>
          <w:tcPr>
            <w:tcW w:w="932" w:type="dxa"/>
          </w:tcPr>
          <w:p w:rsidR="002B7448" w:rsidRPr="00DF3598" w:rsidRDefault="008464B2" w:rsidP="004834E6">
            <w:pPr>
              <w:jc w:val="both"/>
              <w:rPr>
                <w:rFonts w:asciiTheme="minorHAnsi" w:hAnsiTheme="minorHAnsi" w:cstheme="minorHAnsi"/>
                <w:sz w:val="24"/>
                <w:szCs w:val="24"/>
              </w:rPr>
            </w:pPr>
            <w:r w:rsidRPr="00DF3598">
              <w:rPr>
                <w:rFonts w:asciiTheme="minorHAnsi" w:hAnsiTheme="minorHAnsi" w:cstheme="minorHAnsi"/>
                <w:sz w:val="24"/>
                <w:szCs w:val="24"/>
              </w:rPr>
              <w:t>107%</w:t>
            </w:r>
          </w:p>
        </w:tc>
        <w:tc>
          <w:tcPr>
            <w:tcW w:w="932" w:type="dxa"/>
          </w:tcPr>
          <w:p w:rsidR="002B7448" w:rsidRPr="00DF3598" w:rsidRDefault="00EC613C" w:rsidP="004834E6">
            <w:pPr>
              <w:jc w:val="both"/>
              <w:rPr>
                <w:rFonts w:asciiTheme="minorHAnsi" w:hAnsiTheme="minorHAnsi" w:cstheme="minorHAnsi"/>
                <w:sz w:val="24"/>
                <w:szCs w:val="24"/>
              </w:rPr>
            </w:pPr>
            <w:r w:rsidRPr="00DF3598">
              <w:rPr>
                <w:rFonts w:asciiTheme="minorHAnsi" w:hAnsiTheme="minorHAnsi" w:cstheme="minorHAnsi"/>
                <w:sz w:val="24"/>
                <w:szCs w:val="24"/>
              </w:rPr>
              <w:t>34520</w:t>
            </w:r>
          </w:p>
        </w:tc>
        <w:tc>
          <w:tcPr>
            <w:tcW w:w="932" w:type="dxa"/>
          </w:tcPr>
          <w:p w:rsidR="002B7448" w:rsidRPr="00DF3598" w:rsidRDefault="00EC613C" w:rsidP="004834E6">
            <w:pPr>
              <w:jc w:val="both"/>
              <w:rPr>
                <w:rFonts w:asciiTheme="minorHAnsi" w:hAnsiTheme="minorHAnsi" w:cstheme="minorHAnsi"/>
                <w:sz w:val="24"/>
                <w:szCs w:val="24"/>
              </w:rPr>
            </w:pPr>
            <w:r w:rsidRPr="00DF3598">
              <w:rPr>
                <w:rFonts w:asciiTheme="minorHAnsi" w:hAnsiTheme="minorHAnsi" w:cstheme="minorHAnsi"/>
                <w:sz w:val="24"/>
                <w:szCs w:val="24"/>
              </w:rPr>
              <w:t>13444</w:t>
            </w:r>
          </w:p>
        </w:tc>
        <w:tc>
          <w:tcPr>
            <w:tcW w:w="932" w:type="dxa"/>
          </w:tcPr>
          <w:p w:rsidR="002B7448" w:rsidRPr="00DF3598" w:rsidRDefault="00EC613C" w:rsidP="004834E6">
            <w:pPr>
              <w:jc w:val="both"/>
              <w:rPr>
                <w:rFonts w:asciiTheme="minorHAnsi" w:hAnsiTheme="minorHAnsi" w:cstheme="minorHAnsi"/>
                <w:sz w:val="24"/>
                <w:szCs w:val="24"/>
              </w:rPr>
            </w:pPr>
            <w:r w:rsidRPr="00DF3598">
              <w:rPr>
                <w:rFonts w:asciiTheme="minorHAnsi" w:hAnsiTheme="minorHAnsi" w:cstheme="minorHAnsi"/>
                <w:sz w:val="24"/>
                <w:szCs w:val="24"/>
              </w:rPr>
              <w:t>39%</w:t>
            </w:r>
          </w:p>
        </w:tc>
      </w:tr>
      <w:tr w:rsidR="002B7448" w:rsidRPr="00DF3598" w:rsidTr="00994671">
        <w:tc>
          <w:tcPr>
            <w:tcW w:w="1187" w:type="dxa"/>
          </w:tcPr>
          <w:p w:rsidR="002B7448" w:rsidRPr="00DF3598" w:rsidRDefault="002B7448" w:rsidP="004834E6">
            <w:pPr>
              <w:jc w:val="both"/>
              <w:rPr>
                <w:rFonts w:asciiTheme="minorHAnsi" w:hAnsiTheme="minorHAnsi" w:cstheme="minorHAnsi"/>
                <w:sz w:val="24"/>
                <w:szCs w:val="24"/>
              </w:rPr>
            </w:pPr>
            <w:r w:rsidRPr="00DF3598">
              <w:rPr>
                <w:rFonts w:asciiTheme="minorHAnsi" w:hAnsiTheme="minorHAnsi" w:cstheme="minorHAnsi"/>
                <w:sz w:val="24"/>
                <w:szCs w:val="24"/>
              </w:rPr>
              <w:t>Certified</w:t>
            </w:r>
          </w:p>
        </w:tc>
        <w:tc>
          <w:tcPr>
            <w:tcW w:w="932" w:type="dxa"/>
            <w:vAlign w:val="bottom"/>
          </w:tcPr>
          <w:p w:rsidR="002B7448" w:rsidRPr="00DF3598" w:rsidRDefault="002B7448" w:rsidP="00BF6244">
            <w:pPr>
              <w:jc w:val="center"/>
              <w:rPr>
                <w:rFonts w:asciiTheme="minorHAnsi" w:eastAsia="Times New Roman" w:hAnsiTheme="minorHAnsi" w:cstheme="minorHAnsi"/>
                <w:color w:val="000000"/>
                <w:sz w:val="24"/>
                <w:szCs w:val="24"/>
              </w:rPr>
            </w:pPr>
            <w:r w:rsidRPr="00DF3598">
              <w:rPr>
                <w:rFonts w:asciiTheme="minorHAnsi" w:eastAsia="Times New Roman" w:hAnsiTheme="minorHAnsi" w:cstheme="minorHAnsi"/>
                <w:color w:val="000000"/>
                <w:sz w:val="24"/>
                <w:szCs w:val="24"/>
              </w:rPr>
              <w:t>33,166</w:t>
            </w:r>
          </w:p>
        </w:tc>
        <w:tc>
          <w:tcPr>
            <w:tcW w:w="933" w:type="dxa"/>
            <w:vAlign w:val="bottom"/>
          </w:tcPr>
          <w:p w:rsidR="002B7448" w:rsidRPr="00DF3598" w:rsidRDefault="002B7448" w:rsidP="00BF6244">
            <w:pPr>
              <w:jc w:val="center"/>
              <w:rPr>
                <w:rFonts w:asciiTheme="minorHAnsi" w:eastAsia="Times New Roman" w:hAnsiTheme="minorHAnsi" w:cstheme="minorHAnsi"/>
                <w:color w:val="000000"/>
                <w:sz w:val="24"/>
                <w:szCs w:val="24"/>
              </w:rPr>
            </w:pPr>
            <w:r w:rsidRPr="00DF3598">
              <w:rPr>
                <w:rFonts w:asciiTheme="minorHAnsi" w:eastAsia="Times New Roman" w:hAnsiTheme="minorHAnsi" w:cstheme="minorHAnsi"/>
                <w:color w:val="000000"/>
                <w:sz w:val="24"/>
                <w:szCs w:val="24"/>
              </w:rPr>
              <w:t>29,254</w:t>
            </w:r>
          </w:p>
        </w:tc>
        <w:tc>
          <w:tcPr>
            <w:tcW w:w="932" w:type="dxa"/>
            <w:vAlign w:val="bottom"/>
          </w:tcPr>
          <w:p w:rsidR="002B7448" w:rsidRPr="00DF3598" w:rsidRDefault="002B7448" w:rsidP="00BF6244">
            <w:pPr>
              <w:jc w:val="center"/>
              <w:rPr>
                <w:rFonts w:asciiTheme="minorHAnsi" w:eastAsia="Times New Roman" w:hAnsiTheme="minorHAnsi" w:cstheme="minorHAnsi"/>
                <w:color w:val="000000"/>
                <w:sz w:val="24"/>
                <w:szCs w:val="24"/>
              </w:rPr>
            </w:pPr>
            <w:r w:rsidRPr="00DF3598">
              <w:rPr>
                <w:rFonts w:asciiTheme="minorHAnsi" w:eastAsia="Times New Roman" w:hAnsiTheme="minorHAnsi" w:cstheme="minorHAnsi"/>
                <w:color w:val="000000"/>
                <w:sz w:val="24"/>
                <w:szCs w:val="24"/>
              </w:rPr>
              <w:t>88%</w:t>
            </w:r>
          </w:p>
        </w:tc>
        <w:tc>
          <w:tcPr>
            <w:tcW w:w="932" w:type="dxa"/>
            <w:vAlign w:val="center"/>
          </w:tcPr>
          <w:p w:rsidR="002B7448" w:rsidRPr="00DF3598" w:rsidRDefault="008464B2" w:rsidP="008464B2">
            <w:pPr>
              <w:jc w:val="center"/>
              <w:rPr>
                <w:rFonts w:asciiTheme="minorHAnsi" w:hAnsiTheme="minorHAnsi" w:cstheme="minorHAnsi"/>
                <w:sz w:val="24"/>
                <w:szCs w:val="24"/>
              </w:rPr>
            </w:pPr>
            <w:r w:rsidRPr="00DF3598">
              <w:rPr>
                <w:rFonts w:asciiTheme="minorHAnsi" w:eastAsia="Microsoft YaHei" w:hAnsiTheme="minorHAnsi" w:cstheme="minorHAnsi"/>
                <w:color w:val="000000"/>
                <w:kern w:val="24"/>
                <w:sz w:val="24"/>
                <w:szCs w:val="24"/>
                <w:lang w:val="en-PH"/>
              </w:rPr>
              <w:t>28,518</w:t>
            </w:r>
          </w:p>
        </w:tc>
        <w:tc>
          <w:tcPr>
            <w:tcW w:w="932" w:type="dxa"/>
            <w:vAlign w:val="center"/>
          </w:tcPr>
          <w:p w:rsidR="002B7448" w:rsidRPr="00DF3598" w:rsidRDefault="008464B2" w:rsidP="008464B2">
            <w:pPr>
              <w:jc w:val="center"/>
              <w:rPr>
                <w:rFonts w:asciiTheme="minorHAnsi" w:hAnsiTheme="minorHAnsi" w:cstheme="minorHAnsi"/>
                <w:sz w:val="24"/>
                <w:szCs w:val="24"/>
              </w:rPr>
            </w:pPr>
            <w:r w:rsidRPr="00DF3598">
              <w:rPr>
                <w:rFonts w:asciiTheme="minorHAnsi" w:eastAsia="Times New Roman" w:hAnsiTheme="minorHAnsi" w:cstheme="minorHAnsi"/>
                <w:color w:val="000000" w:themeColor="text1"/>
                <w:kern w:val="24"/>
                <w:sz w:val="24"/>
                <w:szCs w:val="24"/>
              </w:rPr>
              <w:t>32003</w:t>
            </w:r>
          </w:p>
        </w:tc>
        <w:tc>
          <w:tcPr>
            <w:tcW w:w="932" w:type="dxa"/>
          </w:tcPr>
          <w:p w:rsidR="002B7448" w:rsidRPr="00DF3598" w:rsidRDefault="008464B2" w:rsidP="004834E6">
            <w:pPr>
              <w:jc w:val="both"/>
              <w:rPr>
                <w:rFonts w:asciiTheme="minorHAnsi" w:hAnsiTheme="minorHAnsi" w:cstheme="minorHAnsi"/>
                <w:sz w:val="24"/>
                <w:szCs w:val="24"/>
              </w:rPr>
            </w:pPr>
            <w:r w:rsidRPr="00DF3598">
              <w:rPr>
                <w:rFonts w:asciiTheme="minorHAnsi" w:hAnsiTheme="minorHAnsi" w:cstheme="minorHAnsi"/>
                <w:sz w:val="24"/>
                <w:szCs w:val="24"/>
              </w:rPr>
              <w:t>112%</w:t>
            </w:r>
          </w:p>
        </w:tc>
        <w:tc>
          <w:tcPr>
            <w:tcW w:w="932" w:type="dxa"/>
          </w:tcPr>
          <w:p w:rsidR="002B7448" w:rsidRPr="00DF3598" w:rsidRDefault="00EC613C" w:rsidP="004834E6">
            <w:pPr>
              <w:jc w:val="both"/>
              <w:rPr>
                <w:rFonts w:asciiTheme="minorHAnsi" w:hAnsiTheme="minorHAnsi" w:cstheme="minorHAnsi"/>
                <w:sz w:val="24"/>
                <w:szCs w:val="24"/>
              </w:rPr>
            </w:pPr>
            <w:r w:rsidRPr="00DF3598">
              <w:rPr>
                <w:rFonts w:asciiTheme="minorHAnsi" w:hAnsiTheme="minorHAnsi" w:cstheme="minorHAnsi"/>
                <w:sz w:val="24"/>
                <w:szCs w:val="24"/>
              </w:rPr>
              <w:t>29342</w:t>
            </w:r>
          </w:p>
        </w:tc>
        <w:tc>
          <w:tcPr>
            <w:tcW w:w="932" w:type="dxa"/>
          </w:tcPr>
          <w:p w:rsidR="002B7448" w:rsidRPr="00DF3598" w:rsidRDefault="00EC613C" w:rsidP="004834E6">
            <w:pPr>
              <w:jc w:val="both"/>
              <w:rPr>
                <w:rFonts w:asciiTheme="minorHAnsi" w:hAnsiTheme="minorHAnsi" w:cstheme="minorHAnsi"/>
                <w:sz w:val="24"/>
                <w:szCs w:val="24"/>
              </w:rPr>
            </w:pPr>
            <w:r w:rsidRPr="00DF3598">
              <w:rPr>
                <w:rFonts w:asciiTheme="minorHAnsi" w:hAnsiTheme="minorHAnsi" w:cstheme="minorHAnsi"/>
                <w:sz w:val="24"/>
                <w:szCs w:val="24"/>
              </w:rPr>
              <w:t>12291</w:t>
            </w:r>
          </w:p>
        </w:tc>
        <w:tc>
          <w:tcPr>
            <w:tcW w:w="932" w:type="dxa"/>
          </w:tcPr>
          <w:p w:rsidR="002B7448" w:rsidRPr="00DF3598" w:rsidRDefault="00EC613C" w:rsidP="004834E6">
            <w:pPr>
              <w:jc w:val="both"/>
              <w:rPr>
                <w:rFonts w:asciiTheme="minorHAnsi" w:hAnsiTheme="minorHAnsi" w:cstheme="minorHAnsi"/>
                <w:sz w:val="24"/>
                <w:szCs w:val="24"/>
              </w:rPr>
            </w:pPr>
            <w:r w:rsidRPr="00DF3598">
              <w:rPr>
                <w:rFonts w:asciiTheme="minorHAnsi" w:hAnsiTheme="minorHAnsi" w:cstheme="minorHAnsi"/>
                <w:sz w:val="24"/>
                <w:szCs w:val="24"/>
              </w:rPr>
              <w:t>42%</w:t>
            </w:r>
          </w:p>
        </w:tc>
      </w:tr>
      <w:tr w:rsidR="002B7448" w:rsidRPr="00DF3598" w:rsidTr="00994671">
        <w:tc>
          <w:tcPr>
            <w:tcW w:w="1187" w:type="dxa"/>
          </w:tcPr>
          <w:p w:rsidR="002B7448" w:rsidRPr="00DF3598" w:rsidRDefault="002B7448" w:rsidP="004834E6">
            <w:pPr>
              <w:jc w:val="both"/>
              <w:rPr>
                <w:rFonts w:asciiTheme="minorHAnsi" w:hAnsiTheme="minorHAnsi" w:cstheme="minorHAnsi"/>
                <w:sz w:val="24"/>
                <w:szCs w:val="24"/>
              </w:rPr>
            </w:pPr>
            <w:r w:rsidRPr="00DF3598">
              <w:rPr>
                <w:rFonts w:asciiTheme="minorHAnsi" w:hAnsiTheme="minorHAnsi" w:cstheme="minorHAnsi"/>
                <w:sz w:val="24"/>
                <w:szCs w:val="24"/>
              </w:rPr>
              <w:t>Employed</w:t>
            </w:r>
          </w:p>
        </w:tc>
        <w:tc>
          <w:tcPr>
            <w:tcW w:w="932" w:type="dxa"/>
            <w:vAlign w:val="bottom"/>
          </w:tcPr>
          <w:p w:rsidR="002B7448" w:rsidRPr="00DF3598" w:rsidRDefault="002B7448" w:rsidP="00BF6244">
            <w:pPr>
              <w:jc w:val="center"/>
              <w:rPr>
                <w:rFonts w:asciiTheme="minorHAnsi" w:eastAsia="Times New Roman" w:hAnsiTheme="minorHAnsi" w:cstheme="minorHAnsi"/>
                <w:color w:val="000000"/>
                <w:sz w:val="24"/>
                <w:szCs w:val="24"/>
              </w:rPr>
            </w:pPr>
            <w:r w:rsidRPr="00DF3598">
              <w:rPr>
                <w:rFonts w:asciiTheme="minorHAnsi" w:eastAsia="Times New Roman" w:hAnsiTheme="minorHAnsi" w:cstheme="minorHAnsi"/>
                <w:color w:val="000000"/>
                <w:sz w:val="24"/>
                <w:szCs w:val="24"/>
              </w:rPr>
              <w:t>2,863</w:t>
            </w:r>
          </w:p>
        </w:tc>
        <w:tc>
          <w:tcPr>
            <w:tcW w:w="933" w:type="dxa"/>
            <w:vAlign w:val="bottom"/>
          </w:tcPr>
          <w:p w:rsidR="002B7448" w:rsidRPr="00DF3598" w:rsidRDefault="002B7448" w:rsidP="00BF6244">
            <w:pPr>
              <w:jc w:val="center"/>
              <w:rPr>
                <w:rFonts w:asciiTheme="minorHAnsi" w:eastAsia="Times New Roman" w:hAnsiTheme="minorHAnsi" w:cstheme="minorHAnsi"/>
                <w:color w:val="000000"/>
                <w:sz w:val="24"/>
                <w:szCs w:val="24"/>
              </w:rPr>
            </w:pPr>
            <w:r w:rsidRPr="00DF3598">
              <w:rPr>
                <w:rFonts w:asciiTheme="minorHAnsi" w:eastAsia="Times New Roman" w:hAnsiTheme="minorHAnsi" w:cstheme="minorHAnsi"/>
                <w:color w:val="000000"/>
                <w:sz w:val="24"/>
                <w:szCs w:val="24"/>
              </w:rPr>
              <w:t>1,859</w:t>
            </w:r>
          </w:p>
        </w:tc>
        <w:tc>
          <w:tcPr>
            <w:tcW w:w="932" w:type="dxa"/>
            <w:vAlign w:val="bottom"/>
          </w:tcPr>
          <w:p w:rsidR="002B7448" w:rsidRPr="00DF3598" w:rsidRDefault="002B7448" w:rsidP="00BF6244">
            <w:pPr>
              <w:jc w:val="center"/>
              <w:rPr>
                <w:rFonts w:asciiTheme="minorHAnsi" w:eastAsia="Times New Roman" w:hAnsiTheme="minorHAnsi" w:cstheme="minorHAnsi"/>
                <w:color w:val="000000"/>
                <w:sz w:val="24"/>
                <w:szCs w:val="24"/>
              </w:rPr>
            </w:pPr>
            <w:r w:rsidRPr="00DF3598">
              <w:rPr>
                <w:rFonts w:asciiTheme="minorHAnsi" w:eastAsia="Times New Roman" w:hAnsiTheme="minorHAnsi" w:cstheme="minorHAnsi"/>
                <w:color w:val="000000"/>
                <w:sz w:val="24"/>
                <w:szCs w:val="24"/>
              </w:rPr>
              <w:t>65%</w:t>
            </w:r>
          </w:p>
        </w:tc>
        <w:tc>
          <w:tcPr>
            <w:tcW w:w="932" w:type="dxa"/>
            <w:vAlign w:val="center"/>
          </w:tcPr>
          <w:p w:rsidR="002B7448" w:rsidRPr="00DF3598" w:rsidRDefault="008464B2" w:rsidP="008464B2">
            <w:pPr>
              <w:jc w:val="center"/>
              <w:rPr>
                <w:rFonts w:asciiTheme="minorHAnsi" w:hAnsiTheme="minorHAnsi" w:cstheme="minorHAnsi"/>
                <w:sz w:val="24"/>
                <w:szCs w:val="24"/>
              </w:rPr>
            </w:pPr>
            <w:r w:rsidRPr="00DF3598">
              <w:rPr>
                <w:rFonts w:asciiTheme="minorHAnsi" w:eastAsia="Microsoft YaHei" w:hAnsiTheme="minorHAnsi" w:cstheme="minorHAnsi"/>
                <w:color w:val="000000"/>
                <w:kern w:val="24"/>
                <w:sz w:val="24"/>
                <w:szCs w:val="24"/>
                <w:lang w:val="en-PH"/>
              </w:rPr>
              <w:t>2,035</w:t>
            </w:r>
          </w:p>
        </w:tc>
        <w:tc>
          <w:tcPr>
            <w:tcW w:w="932" w:type="dxa"/>
            <w:vAlign w:val="center"/>
          </w:tcPr>
          <w:p w:rsidR="002B7448" w:rsidRPr="00DF3598" w:rsidRDefault="008464B2" w:rsidP="008464B2">
            <w:pPr>
              <w:jc w:val="center"/>
              <w:rPr>
                <w:rFonts w:asciiTheme="minorHAnsi" w:hAnsiTheme="minorHAnsi" w:cstheme="minorHAnsi"/>
                <w:sz w:val="24"/>
                <w:szCs w:val="24"/>
              </w:rPr>
            </w:pPr>
            <w:r w:rsidRPr="00DF3598">
              <w:rPr>
                <w:rFonts w:asciiTheme="minorHAnsi" w:eastAsia="Times New Roman" w:hAnsiTheme="minorHAnsi" w:cstheme="minorHAnsi"/>
                <w:color w:val="000000" w:themeColor="text1"/>
                <w:kern w:val="24"/>
                <w:sz w:val="24"/>
                <w:szCs w:val="24"/>
              </w:rPr>
              <w:t>1992</w:t>
            </w:r>
          </w:p>
        </w:tc>
        <w:tc>
          <w:tcPr>
            <w:tcW w:w="932" w:type="dxa"/>
          </w:tcPr>
          <w:p w:rsidR="002B7448" w:rsidRPr="00DF3598" w:rsidRDefault="008464B2" w:rsidP="00994671">
            <w:pPr>
              <w:jc w:val="both"/>
              <w:rPr>
                <w:rFonts w:asciiTheme="minorHAnsi" w:hAnsiTheme="minorHAnsi" w:cstheme="minorHAnsi"/>
                <w:sz w:val="24"/>
                <w:szCs w:val="24"/>
              </w:rPr>
            </w:pPr>
            <w:r w:rsidRPr="00DF3598">
              <w:rPr>
                <w:rFonts w:asciiTheme="minorHAnsi" w:hAnsiTheme="minorHAnsi" w:cstheme="minorHAnsi"/>
                <w:sz w:val="24"/>
                <w:szCs w:val="24"/>
              </w:rPr>
              <w:t>9</w:t>
            </w:r>
            <w:r w:rsidR="00994671" w:rsidRPr="00DF3598">
              <w:rPr>
                <w:rFonts w:asciiTheme="minorHAnsi" w:hAnsiTheme="minorHAnsi" w:cstheme="minorHAnsi"/>
                <w:sz w:val="24"/>
                <w:szCs w:val="24"/>
              </w:rPr>
              <w:t>8</w:t>
            </w:r>
            <w:r w:rsidRPr="00DF3598">
              <w:rPr>
                <w:rFonts w:asciiTheme="minorHAnsi" w:hAnsiTheme="minorHAnsi" w:cstheme="minorHAnsi"/>
                <w:sz w:val="24"/>
                <w:szCs w:val="24"/>
              </w:rPr>
              <w:t>%</w:t>
            </w:r>
          </w:p>
        </w:tc>
        <w:tc>
          <w:tcPr>
            <w:tcW w:w="932" w:type="dxa"/>
          </w:tcPr>
          <w:p w:rsidR="002B7448" w:rsidRPr="00DF3598" w:rsidRDefault="001B327F" w:rsidP="004834E6">
            <w:pPr>
              <w:jc w:val="both"/>
              <w:rPr>
                <w:rFonts w:asciiTheme="minorHAnsi" w:hAnsiTheme="minorHAnsi" w:cstheme="minorHAnsi"/>
                <w:sz w:val="24"/>
                <w:szCs w:val="24"/>
              </w:rPr>
            </w:pPr>
            <w:r w:rsidRPr="00DF3598">
              <w:rPr>
                <w:rFonts w:asciiTheme="minorHAnsi" w:hAnsiTheme="minorHAnsi" w:cstheme="minorHAnsi"/>
                <w:sz w:val="24"/>
                <w:szCs w:val="24"/>
              </w:rPr>
              <w:t>38036</w:t>
            </w:r>
          </w:p>
        </w:tc>
        <w:tc>
          <w:tcPr>
            <w:tcW w:w="932" w:type="dxa"/>
          </w:tcPr>
          <w:p w:rsidR="002B7448" w:rsidRPr="00DF3598" w:rsidRDefault="00EC613C" w:rsidP="004834E6">
            <w:pPr>
              <w:jc w:val="both"/>
              <w:rPr>
                <w:rFonts w:asciiTheme="minorHAnsi" w:hAnsiTheme="minorHAnsi" w:cstheme="minorHAnsi"/>
                <w:sz w:val="24"/>
                <w:szCs w:val="24"/>
              </w:rPr>
            </w:pPr>
            <w:r w:rsidRPr="00DF3598">
              <w:rPr>
                <w:rFonts w:asciiTheme="minorHAnsi" w:hAnsiTheme="minorHAnsi" w:cstheme="minorHAnsi"/>
                <w:sz w:val="24"/>
                <w:szCs w:val="24"/>
              </w:rPr>
              <w:t>18876</w:t>
            </w:r>
          </w:p>
        </w:tc>
        <w:tc>
          <w:tcPr>
            <w:tcW w:w="932" w:type="dxa"/>
          </w:tcPr>
          <w:p w:rsidR="002B7448" w:rsidRPr="00DF3598" w:rsidRDefault="00EC613C" w:rsidP="004834E6">
            <w:pPr>
              <w:jc w:val="both"/>
              <w:rPr>
                <w:rFonts w:asciiTheme="minorHAnsi" w:hAnsiTheme="minorHAnsi" w:cstheme="minorHAnsi"/>
                <w:sz w:val="24"/>
                <w:szCs w:val="24"/>
              </w:rPr>
            </w:pPr>
            <w:r w:rsidRPr="00DF3598">
              <w:rPr>
                <w:rFonts w:asciiTheme="minorHAnsi" w:hAnsiTheme="minorHAnsi" w:cstheme="minorHAnsi"/>
                <w:sz w:val="24"/>
                <w:szCs w:val="24"/>
              </w:rPr>
              <w:t>50%</w:t>
            </w:r>
          </w:p>
        </w:tc>
      </w:tr>
    </w:tbl>
    <w:p w:rsidR="00AF4A7F" w:rsidRPr="00DF3598" w:rsidRDefault="00AF4A7F" w:rsidP="004834E6">
      <w:pPr>
        <w:spacing w:after="0" w:line="240" w:lineRule="auto"/>
        <w:jc w:val="both"/>
        <w:rPr>
          <w:sz w:val="24"/>
          <w:szCs w:val="24"/>
        </w:rPr>
      </w:pPr>
    </w:p>
    <w:p w:rsidR="00492FB0" w:rsidRPr="00DF3598" w:rsidRDefault="00994671" w:rsidP="00492FB0">
      <w:pPr>
        <w:spacing w:after="0" w:line="240" w:lineRule="auto"/>
        <w:ind w:firstLine="720"/>
        <w:jc w:val="both"/>
        <w:rPr>
          <w:rFonts w:cstheme="minorHAnsi"/>
          <w:sz w:val="24"/>
          <w:szCs w:val="24"/>
        </w:rPr>
      </w:pPr>
      <w:r w:rsidRPr="00DF3598">
        <w:rPr>
          <w:sz w:val="24"/>
          <w:szCs w:val="24"/>
        </w:rPr>
        <w:t xml:space="preserve">Based on the data presented on Table </w:t>
      </w:r>
      <w:r w:rsidR="00174E3E">
        <w:rPr>
          <w:sz w:val="24"/>
          <w:szCs w:val="24"/>
        </w:rPr>
        <w:t>6</w:t>
      </w:r>
      <w:r w:rsidRPr="00DF3598">
        <w:rPr>
          <w:sz w:val="24"/>
          <w:szCs w:val="24"/>
        </w:rPr>
        <w:t xml:space="preserve"> </w:t>
      </w:r>
      <w:r w:rsidR="00D25EA4" w:rsidRPr="00DF3598">
        <w:rPr>
          <w:sz w:val="24"/>
          <w:szCs w:val="24"/>
        </w:rPr>
        <w:t xml:space="preserve">for the </w:t>
      </w:r>
      <w:r w:rsidRPr="00DF3598">
        <w:rPr>
          <w:sz w:val="24"/>
          <w:szCs w:val="24"/>
        </w:rPr>
        <w:t xml:space="preserve">Accomplishment Report for CY 2015-2016, </w:t>
      </w:r>
      <w:r w:rsidR="00D25EA4" w:rsidRPr="00DF3598">
        <w:rPr>
          <w:sz w:val="24"/>
          <w:szCs w:val="24"/>
        </w:rPr>
        <w:t>there was a significant increase in the areas of profiled with 44%, assessed with 22%, certified with 24% and employed with 33%.  However for the enrolled and graduate, there was a decrease of 16% and 6%, respectively.</w:t>
      </w:r>
      <w:r w:rsidRPr="00DF3598">
        <w:rPr>
          <w:sz w:val="24"/>
          <w:szCs w:val="24"/>
        </w:rPr>
        <w:t xml:space="preserve">  </w:t>
      </w:r>
      <w:r w:rsidR="00D25EA4" w:rsidRPr="00DF3598">
        <w:rPr>
          <w:sz w:val="24"/>
          <w:szCs w:val="24"/>
        </w:rPr>
        <w:t xml:space="preserve">As of the First Semester of </w:t>
      </w:r>
      <w:r w:rsidRPr="00DF3598">
        <w:rPr>
          <w:sz w:val="24"/>
          <w:szCs w:val="24"/>
        </w:rPr>
        <w:t>2017, the accomplishment report of the region register</w:t>
      </w:r>
      <w:r w:rsidR="00D25EA4" w:rsidRPr="00DF3598">
        <w:rPr>
          <w:sz w:val="24"/>
          <w:szCs w:val="24"/>
        </w:rPr>
        <w:t>ed 48</w:t>
      </w:r>
      <w:r w:rsidRPr="00DF3598">
        <w:rPr>
          <w:sz w:val="24"/>
          <w:szCs w:val="24"/>
        </w:rPr>
        <w:t xml:space="preserve"> % in profiled, </w:t>
      </w:r>
      <w:r w:rsidR="00D25EA4" w:rsidRPr="00DF3598">
        <w:rPr>
          <w:sz w:val="24"/>
          <w:szCs w:val="24"/>
        </w:rPr>
        <w:t>52</w:t>
      </w:r>
      <w:r w:rsidRPr="00DF3598">
        <w:rPr>
          <w:sz w:val="24"/>
          <w:szCs w:val="24"/>
        </w:rPr>
        <w:t xml:space="preserve">% in enrolled, </w:t>
      </w:r>
      <w:r w:rsidR="00D25EA4" w:rsidRPr="00DF3598">
        <w:rPr>
          <w:sz w:val="24"/>
          <w:szCs w:val="24"/>
        </w:rPr>
        <w:t>52</w:t>
      </w:r>
      <w:r w:rsidRPr="00DF3598">
        <w:rPr>
          <w:sz w:val="24"/>
          <w:szCs w:val="24"/>
        </w:rPr>
        <w:t xml:space="preserve">% in graduate, </w:t>
      </w:r>
      <w:r w:rsidR="00D25EA4" w:rsidRPr="00DF3598">
        <w:rPr>
          <w:sz w:val="24"/>
          <w:szCs w:val="24"/>
        </w:rPr>
        <w:t>39</w:t>
      </w:r>
      <w:r w:rsidRPr="00DF3598">
        <w:rPr>
          <w:sz w:val="24"/>
          <w:szCs w:val="24"/>
        </w:rPr>
        <w:t xml:space="preserve">% in assessed, </w:t>
      </w:r>
      <w:r w:rsidR="00D25EA4" w:rsidRPr="00DF3598">
        <w:rPr>
          <w:sz w:val="24"/>
          <w:szCs w:val="24"/>
        </w:rPr>
        <w:t>42</w:t>
      </w:r>
      <w:r w:rsidRPr="00DF3598">
        <w:rPr>
          <w:sz w:val="24"/>
          <w:szCs w:val="24"/>
        </w:rPr>
        <w:t xml:space="preserve">% in certified and </w:t>
      </w:r>
      <w:r w:rsidR="00D25EA4" w:rsidRPr="00DF3598">
        <w:rPr>
          <w:sz w:val="24"/>
          <w:szCs w:val="24"/>
        </w:rPr>
        <w:t>50</w:t>
      </w:r>
      <w:r w:rsidRPr="00DF3598">
        <w:rPr>
          <w:sz w:val="24"/>
          <w:szCs w:val="24"/>
        </w:rPr>
        <w:t xml:space="preserve">% in employed.  The </w:t>
      </w:r>
      <w:r w:rsidR="00CA500B" w:rsidRPr="00DF3598">
        <w:rPr>
          <w:sz w:val="24"/>
          <w:szCs w:val="24"/>
        </w:rPr>
        <w:t xml:space="preserve">new leadership </w:t>
      </w:r>
      <w:r w:rsidR="00492FB0" w:rsidRPr="00DF3598">
        <w:rPr>
          <w:sz w:val="24"/>
          <w:szCs w:val="24"/>
        </w:rPr>
        <w:t xml:space="preserve">introduced reforms </w:t>
      </w:r>
      <w:r w:rsidR="00CA500B" w:rsidRPr="00DF3598">
        <w:rPr>
          <w:sz w:val="24"/>
          <w:szCs w:val="24"/>
        </w:rPr>
        <w:t xml:space="preserve">that made the performance of the region remarkable.  </w:t>
      </w:r>
      <w:r w:rsidR="00492FB0" w:rsidRPr="00DF3598">
        <w:rPr>
          <w:rFonts w:cstheme="minorHAnsi"/>
          <w:sz w:val="24"/>
          <w:szCs w:val="24"/>
        </w:rPr>
        <w:t xml:space="preserve">He introduced the R4BGo!! for the overall strategy in implementing TESD programs and services in the region and the TESDA MIMAROPA Services on Wheels for an innovated fast delivery services.   </w:t>
      </w:r>
    </w:p>
    <w:p w:rsidR="00AF4A7F" w:rsidRDefault="00AF4A7F" w:rsidP="004834E6">
      <w:pPr>
        <w:spacing w:after="0" w:line="240" w:lineRule="auto"/>
        <w:jc w:val="both"/>
        <w:rPr>
          <w:sz w:val="24"/>
          <w:szCs w:val="24"/>
        </w:rPr>
      </w:pPr>
    </w:p>
    <w:p w:rsidR="00A759C6" w:rsidRDefault="00A759C6" w:rsidP="004834E6">
      <w:pPr>
        <w:spacing w:after="0" w:line="240" w:lineRule="auto"/>
        <w:jc w:val="both"/>
        <w:rPr>
          <w:sz w:val="24"/>
          <w:szCs w:val="24"/>
        </w:rPr>
      </w:pPr>
    </w:p>
    <w:p w:rsidR="00A759C6" w:rsidRDefault="00A759C6" w:rsidP="004834E6">
      <w:pPr>
        <w:spacing w:after="0" w:line="240" w:lineRule="auto"/>
        <w:jc w:val="both"/>
        <w:rPr>
          <w:sz w:val="24"/>
          <w:szCs w:val="24"/>
        </w:rPr>
      </w:pPr>
    </w:p>
    <w:p w:rsidR="00A759C6" w:rsidRPr="00DF3598" w:rsidRDefault="00A759C6" w:rsidP="004834E6">
      <w:pPr>
        <w:spacing w:after="0" w:line="240" w:lineRule="auto"/>
        <w:jc w:val="both"/>
        <w:rPr>
          <w:sz w:val="24"/>
          <w:szCs w:val="24"/>
        </w:rPr>
      </w:pPr>
    </w:p>
    <w:p w:rsidR="00756786" w:rsidRPr="00DF3598" w:rsidRDefault="00756786" w:rsidP="004834E6">
      <w:pPr>
        <w:spacing w:after="0" w:line="240" w:lineRule="auto"/>
        <w:jc w:val="both"/>
        <w:rPr>
          <w:b/>
          <w:sz w:val="24"/>
          <w:szCs w:val="24"/>
        </w:rPr>
      </w:pPr>
      <w:r w:rsidRPr="00DF3598">
        <w:rPr>
          <w:b/>
          <w:sz w:val="24"/>
          <w:szCs w:val="24"/>
        </w:rPr>
        <w:t>Chapter IV:  TVET Performance Indicators</w:t>
      </w:r>
    </w:p>
    <w:p w:rsidR="00756786" w:rsidRPr="00DF3598" w:rsidRDefault="00756786" w:rsidP="004834E6">
      <w:pPr>
        <w:spacing w:after="0" w:line="240" w:lineRule="auto"/>
        <w:jc w:val="both"/>
        <w:rPr>
          <w:sz w:val="24"/>
          <w:szCs w:val="24"/>
        </w:rPr>
      </w:pPr>
    </w:p>
    <w:p w:rsidR="001D1696" w:rsidRPr="00DF3598" w:rsidRDefault="002366C4" w:rsidP="004834E6">
      <w:pPr>
        <w:spacing w:after="0" w:line="240" w:lineRule="auto"/>
        <w:jc w:val="both"/>
        <w:rPr>
          <w:sz w:val="24"/>
          <w:szCs w:val="24"/>
        </w:rPr>
      </w:pPr>
      <w:r w:rsidRPr="00DF3598">
        <w:rPr>
          <w:sz w:val="24"/>
          <w:szCs w:val="24"/>
        </w:rPr>
        <w:tab/>
        <w:t xml:space="preserve">Of the 71 municipalities of the region, 100% of the said municipalities were served/benefitted from TESDA’s programs in 2016 and 2017, however, 99% or one (1) municipality were not served in 2015.  Most of the graduates got employed as indicated in the 2016 and 2017 accomplishment report.  Of the target for enrolled, </w:t>
      </w:r>
      <w:r w:rsidR="00C21320" w:rsidRPr="00DF3598">
        <w:rPr>
          <w:sz w:val="24"/>
          <w:szCs w:val="24"/>
        </w:rPr>
        <w:t xml:space="preserve">95% and 79% were achieved for 2015 and 2016, respectively.  For the assessed, 85% and 107% were given assessment to graduates/workers in 2015 and 2016, respectively.  </w:t>
      </w:r>
      <w:r w:rsidRPr="00DF3598">
        <w:rPr>
          <w:sz w:val="24"/>
          <w:szCs w:val="24"/>
        </w:rPr>
        <w:t xml:space="preserve">    </w:t>
      </w:r>
    </w:p>
    <w:p w:rsidR="001D1696" w:rsidRPr="00DF3598" w:rsidRDefault="001D1696" w:rsidP="004834E6">
      <w:pPr>
        <w:spacing w:after="0" w:line="240" w:lineRule="auto"/>
        <w:jc w:val="both"/>
        <w:rPr>
          <w:sz w:val="24"/>
          <w:szCs w:val="24"/>
        </w:rPr>
      </w:pPr>
    </w:p>
    <w:p w:rsidR="00756786" w:rsidRPr="00DF3598" w:rsidRDefault="00756786" w:rsidP="004834E6">
      <w:pPr>
        <w:spacing w:after="0" w:line="240" w:lineRule="auto"/>
        <w:jc w:val="both"/>
        <w:rPr>
          <w:b/>
          <w:sz w:val="24"/>
          <w:szCs w:val="24"/>
        </w:rPr>
      </w:pPr>
      <w:r w:rsidRPr="00DF3598">
        <w:rPr>
          <w:b/>
          <w:sz w:val="24"/>
          <w:szCs w:val="24"/>
        </w:rPr>
        <w:t>Chapter V:  TVET Stakeholders Providers</w:t>
      </w:r>
    </w:p>
    <w:p w:rsidR="00756786" w:rsidRPr="00DF3598" w:rsidRDefault="00756786" w:rsidP="004834E6">
      <w:pPr>
        <w:spacing w:after="0" w:line="240" w:lineRule="auto"/>
        <w:jc w:val="both"/>
        <w:rPr>
          <w:sz w:val="24"/>
          <w:szCs w:val="24"/>
        </w:rPr>
      </w:pPr>
    </w:p>
    <w:p w:rsidR="00295BC4" w:rsidRPr="00DF3598" w:rsidRDefault="00295BC4" w:rsidP="004834E6">
      <w:pPr>
        <w:ind w:firstLine="720"/>
        <w:jc w:val="both"/>
        <w:rPr>
          <w:rFonts w:cs="Calibri"/>
          <w:color w:val="252525"/>
          <w:sz w:val="24"/>
          <w:szCs w:val="24"/>
          <w:shd w:val="clear" w:color="auto" w:fill="FFFFFF"/>
        </w:rPr>
      </w:pPr>
      <w:r w:rsidRPr="00DF3598">
        <w:rPr>
          <w:rFonts w:cs="Arial"/>
          <w:sz w:val="24"/>
          <w:szCs w:val="24"/>
        </w:rPr>
        <w:t xml:space="preserve">TESDA MIMAROPA will adopt the Seek, Find, Train, Certify and Employ strategy in the implementation of its programs and services.  Maintaining its strong convergence with DA/ATI in the agri-fishery programs, SUCs for the higher level of competencies, DepEd on the K-12 program and in assessing and certifying its graduates, with DOLE, DTI, DSWD, DOST  and other National Government Agencies.  The Region will establish its Regional and Provincial Training Centers and LGU-run Training Centers to enhance its TVET delivery and </w:t>
      </w:r>
      <w:r w:rsidRPr="00DF3598">
        <w:rPr>
          <w:rFonts w:cs="Calibri"/>
          <w:sz w:val="24"/>
          <w:szCs w:val="24"/>
        </w:rPr>
        <w:t xml:space="preserve">will support the increase in the enrolment in TVET where it will cater clients from those graduates from public and private high schools, out-of-school youth, unemployed adults, women, Persons with Disabilities, Indigenous People, and other marginalized persons and those seeking career change.  Moreover, the organized association of TVET, Competency Assessors and Trainers, the reactivation/functional RPTESDC and PTESDCs and maximized consultations with PDCs, RDCs and continuous implementation of mobile training programs will improve the TVET delivery network of the region.  The region will intensify its Social Marketing Advocacy through the tri-media component such as television, radio and print, the use of social media, facebook account, and press releases.  The MIMAROPA Services on Wheels will continue to provide </w:t>
      </w:r>
      <w:r w:rsidRPr="00DF3598">
        <w:rPr>
          <w:rFonts w:cs="Calibri"/>
          <w:color w:val="252525"/>
          <w:sz w:val="24"/>
          <w:szCs w:val="24"/>
          <w:shd w:val="clear" w:color="auto" w:fill="FFFFFF"/>
        </w:rPr>
        <w:t xml:space="preserve">better delivery of services, quicker response in times of need, reducing process cycle time in government transactions are also one of the topmost directives of the present administration to ensure total customer satisfaction.  The Driver’s Badge Program will still be implemented to increase the assessment and certification output of the region.  The implementation of the Training-Cum-Production (TCP) will assist the trainees not only gain relevant skills and attitudes in their chosen qualifications but also the necessary hands on experience to use the skills learned. </w:t>
      </w:r>
    </w:p>
    <w:p w:rsidR="00756786" w:rsidRPr="00DF3598" w:rsidRDefault="00756786" w:rsidP="004834E6">
      <w:pPr>
        <w:spacing w:after="0" w:line="240" w:lineRule="auto"/>
        <w:jc w:val="both"/>
        <w:rPr>
          <w:sz w:val="24"/>
          <w:szCs w:val="24"/>
        </w:rPr>
      </w:pPr>
    </w:p>
    <w:p w:rsidR="007C501D" w:rsidRDefault="00756786" w:rsidP="004834E6">
      <w:pPr>
        <w:spacing w:after="0" w:line="240" w:lineRule="auto"/>
        <w:jc w:val="both"/>
        <w:rPr>
          <w:sz w:val="24"/>
          <w:szCs w:val="24"/>
        </w:rPr>
      </w:pPr>
      <w:r w:rsidRPr="00DF3598">
        <w:rPr>
          <w:b/>
          <w:sz w:val="24"/>
          <w:szCs w:val="24"/>
        </w:rPr>
        <w:t>Chapter 6:  Conclusion and Recommendations</w:t>
      </w:r>
    </w:p>
    <w:p w:rsidR="00A508C5" w:rsidRDefault="00A508C5" w:rsidP="004834E6">
      <w:pPr>
        <w:spacing w:after="0" w:line="240" w:lineRule="auto"/>
        <w:jc w:val="both"/>
        <w:rPr>
          <w:sz w:val="24"/>
          <w:szCs w:val="24"/>
        </w:rPr>
      </w:pPr>
    </w:p>
    <w:p w:rsidR="00B01652" w:rsidRDefault="00A508C5" w:rsidP="00000CE4">
      <w:pPr>
        <w:spacing w:after="0" w:line="240" w:lineRule="auto"/>
        <w:jc w:val="both"/>
        <w:rPr>
          <w:rFonts w:ascii="Arial" w:hAnsi="Arial" w:cs="Arial"/>
        </w:rPr>
      </w:pPr>
      <w:r>
        <w:rPr>
          <w:sz w:val="24"/>
          <w:szCs w:val="24"/>
        </w:rPr>
        <w:tab/>
        <w:t>The TVET performance of TESD</w:t>
      </w:r>
      <w:r w:rsidR="00E017E8">
        <w:rPr>
          <w:sz w:val="24"/>
          <w:szCs w:val="24"/>
        </w:rPr>
        <w:t xml:space="preserve">A MIMAROPA is moving </w:t>
      </w:r>
      <w:r w:rsidR="00B01652">
        <w:rPr>
          <w:sz w:val="24"/>
          <w:szCs w:val="24"/>
        </w:rPr>
        <w:t>towards a marvelous achievement and becoming a better performing unit and one of the top TESDA operating units.  This development shall be sustained in the coming years that will put the region in the roster</w:t>
      </w:r>
      <w:r w:rsidR="00E017E8">
        <w:rPr>
          <w:sz w:val="24"/>
          <w:szCs w:val="24"/>
        </w:rPr>
        <w:t xml:space="preserve"> </w:t>
      </w:r>
      <w:r w:rsidR="00B01652">
        <w:rPr>
          <w:sz w:val="24"/>
          <w:szCs w:val="24"/>
        </w:rPr>
        <w:t xml:space="preserve">of best performing regions.  </w:t>
      </w:r>
    </w:p>
    <w:sectPr w:rsidR="00B016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608" w:rsidRDefault="00584608" w:rsidP="00C21320">
      <w:pPr>
        <w:spacing w:after="0" w:line="240" w:lineRule="auto"/>
      </w:pPr>
      <w:r>
        <w:separator/>
      </w:r>
    </w:p>
  </w:endnote>
  <w:endnote w:type="continuationSeparator" w:id="0">
    <w:p w:rsidR="00584608" w:rsidRDefault="00584608" w:rsidP="00C21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nard MT Condensed">
    <w:panose1 w:val="020508060609050204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608" w:rsidRDefault="00584608" w:rsidP="00C21320">
      <w:pPr>
        <w:spacing w:after="0" w:line="240" w:lineRule="auto"/>
      </w:pPr>
      <w:r>
        <w:separator/>
      </w:r>
    </w:p>
  </w:footnote>
  <w:footnote w:type="continuationSeparator" w:id="0">
    <w:p w:rsidR="00584608" w:rsidRDefault="00584608" w:rsidP="00C213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04AD"/>
    <w:multiLevelType w:val="hybridMultilevel"/>
    <w:tmpl w:val="8D9C05C0"/>
    <w:lvl w:ilvl="0" w:tplc="79564946">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 w15:restartNumberingAfterBreak="0">
    <w:nsid w:val="07BD098C"/>
    <w:multiLevelType w:val="hybridMultilevel"/>
    <w:tmpl w:val="A1F6E0B0"/>
    <w:lvl w:ilvl="0" w:tplc="3A5A15D2">
      <w:start w:val="1"/>
      <w:numFmt w:val="lowerLetter"/>
      <w:lvlText w:val="%1."/>
      <w:lvlJc w:val="left"/>
      <w:pPr>
        <w:ind w:left="1080" w:hanging="360"/>
      </w:pPr>
      <w:rPr>
        <w:rFonts w:ascii="Calibri" w:eastAsia="Calibri" w:hAnsi="Calibri" w:cs="Arial"/>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CCE5CC4"/>
    <w:multiLevelType w:val="hybridMultilevel"/>
    <w:tmpl w:val="D99E01C0"/>
    <w:lvl w:ilvl="0" w:tplc="005E7DC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78E5B29"/>
    <w:multiLevelType w:val="hybridMultilevel"/>
    <w:tmpl w:val="6E787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11238A"/>
    <w:multiLevelType w:val="hybridMultilevel"/>
    <w:tmpl w:val="60484584"/>
    <w:lvl w:ilvl="0" w:tplc="CA60742C">
      <w:start w:val="1"/>
      <w:numFmt w:val="decimal"/>
      <w:lvlText w:val="%1."/>
      <w:lvlJc w:val="left"/>
      <w:pPr>
        <w:tabs>
          <w:tab w:val="num" w:pos="720"/>
        </w:tabs>
        <w:ind w:left="720" w:hanging="360"/>
      </w:pPr>
      <w:rPr>
        <w:rFonts w:ascii="Calibri" w:eastAsia="Calibri" w:hAnsi="Calibr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4B48C2"/>
    <w:multiLevelType w:val="hybridMultilevel"/>
    <w:tmpl w:val="D4C04B40"/>
    <w:lvl w:ilvl="0" w:tplc="7C2E569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4B622B1"/>
    <w:multiLevelType w:val="hybridMultilevel"/>
    <w:tmpl w:val="41D865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5415A9F"/>
    <w:multiLevelType w:val="hybridMultilevel"/>
    <w:tmpl w:val="27BCE02A"/>
    <w:lvl w:ilvl="0" w:tplc="5E34728E">
      <w:start w:val="1"/>
      <w:numFmt w:val="decimal"/>
      <w:lvlText w:val="%1."/>
      <w:lvlJc w:val="left"/>
      <w:pPr>
        <w:ind w:left="1800" w:hanging="360"/>
      </w:pPr>
      <w:rPr>
        <w:rFonts w:ascii="Calibri" w:eastAsia="Calibri" w:hAnsi="Calibri" w:cs="Times New Roman"/>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8" w15:restartNumberingAfterBreak="0">
    <w:nsid w:val="271745FB"/>
    <w:multiLevelType w:val="hybridMultilevel"/>
    <w:tmpl w:val="FF0C1596"/>
    <w:lvl w:ilvl="0" w:tplc="FF282E50">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C9A4D0A"/>
    <w:multiLevelType w:val="hybridMultilevel"/>
    <w:tmpl w:val="69BCCF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D1D6430"/>
    <w:multiLevelType w:val="hybridMultilevel"/>
    <w:tmpl w:val="7FD6A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E31F3C"/>
    <w:multiLevelType w:val="hybridMultilevel"/>
    <w:tmpl w:val="CDDAB4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08C2B06"/>
    <w:multiLevelType w:val="hybridMultilevel"/>
    <w:tmpl w:val="365CEABC"/>
    <w:lvl w:ilvl="0" w:tplc="EA4AA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5ED13EF"/>
    <w:multiLevelType w:val="hybridMultilevel"/>
    <w:tmpl w:val="D7B8510C"/>
    <w:lvl w:ilvl="0" w:tplc="F828BAC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38153300"/>
    <w:multiLevelType w:val="hybridMultilevel"/>
    <w:tmpl w:val="8730A05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8C52F57"/>
    <w:multiLevelType w:val="hybridMultilevel"/>
    <w:tmpl w:val="90D84140"/>
    <w:lvl w:ilvl="0" w:tplc="128A803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39314C09"/>
    <w:multiLevelType w:val="hybridMultilevel"/>
    <w:tmpl w:val="B87CECB0"/>
    <w:lvl w:ilvl="0" w:tplc="04090019">
      <w:start w:val="1"/>
      <w:numFmt w:val="lowerLetter"/>
      <w:lvlText w:val="%1."/>
      <w:lvlJc w:val="left"/>
      <w:pPr>
        <w:ind w:left="5310" w:hanging="360"/>
      </w:pPr>
      <w:rPr>
        <w:rFonts w:hint="default"/>
      </w:rPr>
    </w:lvl>
    <w:lvl w:ilvl="1" w:tplc="04090019" w:tentative="1">
      <w:start w:val="1"/>
      <w:numFmt w:val="lowerLetter"/>
      <w:lvlText w:val="%2."/>
      <w:lvlJc w:val="left"/>
      <w:pPr>
        <w:ind w:left="6030" w:hanging="360"/>
      </w:pPr>
    </w:lvl>
    <w:lvl w:ilvl="2" w:tplc="0409001B" w:tentative="1">
      <w:start w:val="1"/>
      <w:numFmt w:val="lowerRoman"/>
      <w:lvlText w:val="%3."/>
      <w:lvlJc w:val="right"/>
      <w:pPr>
        <w:ind w:left="6750" w:hanging="180"/>
      </w:pPr>
    </w:lvl>
    <w:lvl w:ilvl="3" w:tplc="0409000F" w:tentative="1">
      <w:start w:val="1"/>
      <w:numFmt w:val="decimal"/>
      <w:lvlText w:val="%4."/>
      <w:lvlJc w:val="left"/>
      <w:pPr>
        <w:ind w:left="7470" w:hanging="360"/>
      </w:pPr>
    </w:lvl>
    <w:lvl w:ilvl="4" w:tplc="04090019" w:tentative="1">
      <w:start w:val="1"/>
      <w:numFmt w:val="lowerLetter"/>
      <w:lvlText w:val="%5."/>
      <w:lvlJc w:val="left"/>
      <w:pPr>
        <w:ind w:left="8190" w:hanging="360"/>
      </w:pPr>
    </w:lvl>
    <w:lvl w:ilvl="5" w:tplc="0409001B" w:tentative="1">
      <w:start w:val="1"/>
      <w:numFmt w:val="lowerRoman"/>
      <w:lvlText w:val="%6."/>
      <w:lvlJc w:val="right"/>
      <w:pPr>
        <w:ind w:left="8910" w:hanging="180"/>
      </w:pPr>
    </w:lvl>
    <w:lvl w:ilvl="6" w:tplc="0409000F" w:tentative="1">
      <w:start w:val="1"/>
      <w:numFmt w:val="decimal"/>
      <w:lvlText w:val="%7."/>
      <w:lvlJc w:val="left"/>
      <w:pPr>
        <w:ind w:left="9630" w:hanging="360"/>
      </w:pPr>
    </w:lvl>
    <w:lvl w:ilvl="7" w:tplc="04090019" w:tentative="1">
      <w:start w:val="1"/>
      <w:numFmt w:val="lowerLetter"/>
      <w:lvlText w:val="%8."/>
      <w:lvlJc w:val="left"/>
      <w:pPr>
        <w:ind w:left="10350" w:hanging="360"/>
      </w:pPr>
    </w:lvl>
    <w:lvl w:ilvl="8" w:tplc="0409001B" w:tentative="1">
      <w:start w:val="1"/>
      <w:numFmt w:val="lowerRoman"/>
      <w:lvlText w:val="%9."/>
      <w:lvlJc w:val="right"/>
      <w:pPr>
        <w:ind w:left="11070" w:hanging="180"/>
      </w:pPr>
    </w:lvl>
  </w:abstractNum>
  <w:abstractNum w:abstractNumId="17" w15:restartNumberingAfterBreak="0">
    <w:nsid w:val="3A5931ED"/>
    <w:multiLevelType w:val="hybridMultilevel"/>
    <w:tmpl w:val="0800657C"/>
    <w:lvl w:ilvl="0" w:tplc="FF282E50">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F5E3527"/>
    <w:multiLevelType w:val="hybridMultilevel"/>
    <w:tmpl w:val="9698B1F6"/>
    <w:lvl w:ilvl="0" w:tplc="27C63DC8">
      <w:start w:val="1"/>
      <w:numFmt w:val="lowerLetter"/>
      <w:lvlText w:val="%1."/>
      <w:lvlJc w:val="left"/>
      <w:pPr>
        <w:ind w:left="720" w:hanging="360"/>
      </w:pPr>
      <w:rPr>
        <w:rFonts w:ascii="Calibri" w:eastAsia="Calibri"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0574E1"/>
    <w:multiLevelType w:val="hybridMultilevel"/>
    <w:tmpl w:val="3D9ACB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670021F"/>
    <w:multiLevelType w:val="hybridMultilevel"/>
    <w:tmpl w:val="5526EF74"/>
    <w:lvl w:ilvl="0" w:tplc="5E30ABC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4AA0108C"/>
    <w:multiLevelType w:val="hybridMultilevel"/>
    <w:tmpl w:val="23D88150"/>
    <w:lvl w:ilvl="0" w:tplc="BE5EB41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4AB65B15"/>
    <w:multiLevelType w:val="hybridMultilevel"/>
    <w:tmpl w:val="C10EB850"/>
    <w:lvl w:ilvl="0" w:tplc="C1BE39A4">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3" w15:restartNumberingAfterBreak="0">
    <w:nsid w:val="4C3F5263"/>
    <w:multiLevelType w:val="hybridMultilevel"/>
    <w:tmpl w:val="F0E29D56"/>
    <w:lvl w:ilvl="0" w:tplc="1AF8E15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4C936B71"/>
    <w:multiLevelType w:val="hybridMultilevel"/>
    <w:tmpl w:val="796A7D40"/>
    <w:lvl w:ilvl="0" w:tplc="9CEC7FB0">
      <w:start w:val="1"/>
      <w:numFmt w:val="lowerLetter"/>
      <w:lvlText w:val="%1."/>
      <w:lvlJc w:val="left"/>
      <w:pPr>
        <w:ind w:left="1080" w:hanging="360"/>
      </w:pPr>
      <w:rPr>
        <w:rFonts w:ascii="Calibri" w:eastAsia="Calibri"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D9E592D"/>
    <w:multiLevelType w:val="hybridMultilevel"/>
    <w:tmpl w:val="31748F94"/>
    <w:lvl w:ilvl="0" w:tplc="D006F5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833184"/>
    <w:multiLevelType w:val="hybridMultilevel"/>
    <w:tmpl w:val="C3D07E80"/>
    <w:lvl w:ilvl="0" w:tplc="B846FF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6820AD1"/>
    <w:multiLevelType w:val="hybridMultilevel"/>
    <w:tmpl w:val="9A540B90"/>
    <w:lvl w:ilvl="0" w:tplc="0B1A6664">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8" w15:restartNumberingAfterBreak="0">
    <w:nsid w:val="62A81F80"/>
    <w:multiLevelType w:val="hybridMultilevel"/>
    <w:tmpl w:val="5CF0D8D4"/>
    <w:lvl w:ilvl="0" w:tplc="16760E5C">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9" w15:restartNumberingAfterBreak="0">
    <w:nsid w:val="6680797E"/>
    <w:multiLevelType w:val="hybridMultilevel"/>
    <w:tmpl w:val="22B03912"/>
    <w:lvl w:ilvl="0" w:tplc="AF06E7F4">
      <w:start w:val="3"/>
      <w:numFmt w:val="bullet"/>
      <w:lvlText w:val="-"/>
      <w:lvlJc w:val="left"/>
      <w:pPr>
        <w:ind w:left="1800" w:hanging="360"/>
      </w:pPr>
      <w:rPr>
        <w:rFonts w:ascii="Calibri" w:eastAsia="Calibri" w:hAnsi="Calibri" w:cs="Times New Roman" w:hint="default"/>
      </w:rPr>
    </w:lvl>
    <w:lvl w:ilvl="1" w:tplc="34090003">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30" w15:restartNumberingAfterBreak="0">
    <w:nsid w:val="67FE39FB"/>
    <w:multiLevelType w:val="hybridMultilevel"/>
    <w:tmpl w:val="A386D168"/>
    <w:lvl w:ilvl="0" w:tplc="F8B62A66">
      <w:start w:val="1"/>
      <w:numFmt w:val="decimal"/>
      <w:lvlText w:val="%1."/>
      <w:lvlJc w:val="left"/>
      <w:pPr>
        <w:tabs>
          <w:tab w:val="num" w:pos="810"/>
        </w:tabs>
        <w:ind w:left="810" w:hanging="360"/>
      </w:pPr>
      <w:rPr>
        <w:rFonts w:ascii="Calibri" w:eastAsia="Calibri" w:hAnsi="Calibri" w:cs="Arial" w:hint="default"/>
      </w:rPr>
    </w:lvl>
    <w:lvl w:ilvl="1" w:tplc="9822CDAE">
      <w:start w:val="1"/>
      <w:numFmt w:val="decimal"/>
      <w:lvlText w:val="%2."/>
      <w:lvlJc w:val="left"/>
      <w:pPr>
        <w:tabs>
          <w:tab w:val="num" w:pos="1440"/>
        </w:tabs>
        <w:ind w:left="1440" w:hanging="360"/>
      </w:pPr>
      <w:rPr>
        <w:rFonts w:ascii="Arial" w:eastAsia="Calibri" w:hAnsi="Arial" w:cs="Arial"/>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D8A1B92"/>
    <w:multiLevelType w:val="hybridMultilevel"/>
    <w:tmpl w:val="1534B4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765752"/>
    <w:multiLevelType w:val="hybridMultilevel"/>
    <w:tmpl w:val="525038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0216EFB"/>
    <w:multiLevelType w:val="hybridMultilevel"/>
    <w:tmpl w:val="6D3CFD4E"/>
    <w:lvl w:ilvl="0" w:tplc="2CDA0CD2">
      <w:start w:val="1"/>
      <w:numFmt w:val="lowerLetter"/>
      <w:lvlText w:val="%1."/>
      <w:lvlJc w:val="left"/>
      <w:pPr>
        <w:ind w:left="1080" w:hanging="360"/>
      </w:pPr>
      <w:rPr>
        <w:rFonts w:ascii="Calibri" w:eastAsia="Calibri" w:hAnsi="Calibri" w:cs="Arial"/>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15:restartNumberingAfterBreak="0">
    <w:nsid w:val="714F2F6F"/>
    <w:multiLevelType w:val="hybridMultilevel"/>
    <w:tmpl w:val="1D4AE7B8"/>
    <w:lvl w:ilvl="0" w:tplc="1332B194">
      <w:start w:val="1"/>
      <w:numFmt w:val="decimal"/>
      <w:lvlText w:val="%1."/>
      <w:lvlJc w:val="left"/>
      <w:pPr>
        <w:ind w:left="1800" w:hanging="360"/>
      </w:pPr>
      <w:rPr>
        <w:rFonts w:cs="Arial"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5" w15:restartNumberingAfterBreak="0">
    <w:nsid w:val="735A0A64"/>
    <w:multiLevelType w:val="hybridMultilevel"/>
    <w:tmpl w:val="810E7894"/>
    <w:lvl w:ilvl="0" w:tplc="FF282E50">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81B6807"/>
    <w:multiLevelType w:val="hybridMultilevel"/>
    <w:tmpl w:val="EB5E2454"/>
    <w:lvl w:ilvl="0" w:tplc="2F620B28">
      <w:start w:val="1"/>
      <w:numFmt w:val="decimal"/>
      <w:lvlText w:val="%1."/>
      <w:lvlJc w:val="left"/>
      <w:pPr>
        <w:ind w:left="720" w:hanging="360"/>
      </w:pPr>
      <w:rPr>
        <w:rFonts w:ascii="Calibri" w:eastAsia="Calibri" w:hAnsi="Calibr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E16930"/>
    <w:multiLevelType w:val="hybridMultilevel"/>
    <w:tmpl w:val="29C26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E1C655C">
      <w:start w:val="5"/>
      <w:numFmt w:val="bullet"/>
      <w:lvlText w:val="-"/>
      <w:lvlJc w:val="left"/>
      <w:pPr>
        <w:ind w:left="2160" w:hanging="360"/>
      </w:pPr>
      <w:rPr>
        <w:rFonts w:ascii="Calibri" w:eastAsia="Times New Roman" w:hAnsi="Calibri"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90431D"/>
    <w:multiLevelType w:val="hybridMultilevel"/>
    <w:tmpl w:val="09F440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5"/>
  </w:num>
  <w:num w:numId="3">
    <w:abstractNumId w:val="30"/>
  </w:num>
  <w:num w:numId="4">
    <w:abstractNumId w:val="35"/>
  </w:num>
  <w:num w:numId="5">
    <w:abstractNumId w:val="8"/>
  </w:num>
  <w:num w:numId="6">
    <w:abstractNumId w:val="17"/>
  </w:num>
  <w:num w:numId="7">
    <w:abstractNumId w:val="26"/>
  </w:num>
  <w:num w:numId="8">
    <w:abstractNumId w:val="6"/>
  </w:num>
  <w:num w:numId="9">
    <w:abstractNumId w:val="38"/>
  </w:num>
  <w:num w:numId="10">
    <w:abstractNumId w:val="9"/>
  </w:num>
  <w:num w:numId="11">
    <w:abstractNumId w:val="32"/>
  </w:num>
  <w:num w:numId="12">
    <w:abstractNumId w:val="19"/>
  </w:num>
  <w:num w:numId="13">
    <w:abstractNumId w:val="37"/>
  </w:num>
  <w:num w:numId="14">
    <w:abstractNumId w:val="12"/>
  </w:num>
  <w:num w:numId="15">
    <w:abstractNumId w:val="36"/>
  </w:num>
  <w:num w:numId="16">
    <w:abstractNumId w:val="24"/>
  </w:num>
  <w:num w:numId="17">
    <w:abstractNumId w:val="3"/>
  </w:num>
  <w:num w:numId="18">
    <w:abstractNumId w:val="4"/>
  </w:num>
  <w:num w:numId="19">
    <w:abstractNumId w:val="7"/>
  </w:num>
  <w:num w:numId="20">
    <w:abstractNumId w:val="0"/>
  </w:num>
  <w:num w:numId="21">
    <w:abstractNumId w:val="23"/>
  </w:num>
  <w:num w:numId="22">
    <w:abstractNumId w:val="34"/>
  </w:num>
  <w:num w:numId="23">
    <w:abstractNumId w:val="27"/>
  </w:num>
  <w:num w:numId="24">
    <w:abstractNumId w:val="22"/>
  </w:num>
  <w:num w:numId="25">
    <w:abstractNumId w:val="28"/>
  </w:num>
  <w:num w:numId="26">
    <w:abstractNumId w:val="21"/>
  </w:num>
  <w:num w:numId="27">
    <w:abstractNumId w:val="13"/>
  </w:num>
  <w:num w:numId="28">
    <w:abstractNumId w:val="15"/>
  </w:num>
  <w:num w:numId="29">
    <w:abstractNumId w:val="20"/>
  </w:num>
  <w:num w:numId="30">
    <w:abstractNumId w:val="33"/>
  </w:num>
  <w:num w:numId="31">
    <w:abstractNumId w:val="1"/>
  </w:num>
  <w:num w:numId="32">
    <w:abstractNumId w:val="18"/>
  </w:num>
  <w:num w:numId="33">
    <w:abstractNumId w:val="31"/>
  </w:num>
  <w:num w:numId="34">
    <w:abstractNumId w:val="29"/>
  </w:num>
  <w:num w:numId="35">
    <w:abstractNumId w:val="25"/>
  </w:num>
  <w:num w:numId="36">
    <w:abstractNumId w:val="10"/>
  </w:num>
  <w:num w:numId="37">
    <w:abstractNumId w:val="2"/>
  </w:num>
  <w:num w:numId="38">
    <w:abstractNumId w:val="11"/>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786"/>
    <w:rsid w:val="00000CE4"/>
    <w:rsid w:val="0002389F"/>
    <w:rsid w:val="00086A13"/>
    <w:rsid w:val="001720C0"/>
    <w:rsid w:val="00174E3E"/>
    <w:rsid w:val="001938EB"/>
    <w:rsid w:val="001B327F"/>
    <w:rsid w:val="001D1696"/>
    <w:rsid w:val="002366C4"/>
    <w:rsid w:val="00295BC4"/>
    <w:rsid w:val="002B7448"/>
    <w:rsid w:val="002C17B2"/>
    <w:rsid w:val="00303968"/>
    <w:rsid w:val="003101F4"/>
    <w:rsid w:val="003823CE"/>
    <w:rsid w:val="003C0091"/>
    <w:rsid w:val="003C2C45"/>
    <w:rsid w:val="004834E6"/>
    <w:rsid w:val="00492FB0"/>
    <w:rsid w:val="004A6AF1"/>
    <w:rsid w:val="004C3334"/>
    <w:rsid w:val="004F3481"/>
    <w:rsid w:val="005126BD"/>
    <w:rsid w:val="00584020"/>
    <w:rsid w:val="00584608"/>
    <w:rsid w:val="005B29D9"/>
    <w:rsid w:val="006377F9"/>
    <w:rsid w:val="006440DD"/>
    <w:rsid w:val="0065242D"/>
    <w:rsid w:val="00656A89"/>
    <w:rsid w:val="006B12F5"/>
    <w:rsid w:val="006D7C86"/>
    <w:rsid w:val="00701BCD"/>
    <w:rsid w:val="00722CA9"/>
    <w:rsid w:val="00756786"/>
    <w:rsid w:val="007C1F45"/>
    <w:rsid w:val="007C501D"/>
    <w:rsid w:val="0080022B"/>
    <w:rsid w:val="008464B2"/>
    <w:rsid w:val="008656E7"/>
    <w:rsid w:val="00937FF5"/>
    <w:rsid w:val="00994671"/>
    <w:rsid w:val="009A1B95"/>
    <w:rsid w:val="009D7CA8"/>
    <w:rsid w:val="009E7C33"/>
    <w:rsid w:val="00A26CF9"/>
    <w:rsid w:val="00A4139B"/>
    <w:rsid w:val="00A508C5"/>
    <w:rsid w:val="00A759C6"/>
    <w:rsid w:val="00A9570E"/>
    <w:rsid w:val="00AB3AEA"/>
    <w:rsid w:val="00AB6650"/>
    <w:rsid w:val="00AF4A7F"/>
    <w:rsid w:val="00B01652"/>
    <w:rsid w:val="00B73EA3"/>
    <w:rsid w:val="00BD558E"/>
    <w:rsid w:val="00BF6244"/>
    <w:rsid w:val="00C21320"/>
    <w:rsid w:val="00CA500B"/>
    <w:rsid w:val="00D25EA4"/>
    <w:rsid w:val="00D9305E"/>
    <w:rsid w:val="00D97C67"/>
    <w:rsid w:val="00DF3598"/>
    <w:rsid w:val="00E017E8"/>
    <w:rsid w:val="00E1016B"/>
    <w:rsid w:val="00E1652E"/>
    <w:rsid w:val="00EC613C"/>
    <w:rsid w:val="00ED169C"/>
    <w:rsid w:val="00EE47C7"/>
    <w:rsid w:val="00F13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0B5313-85FB-4B95-A5D3-6ACA8DF1B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C17B2"/>
    <w:pPr>
      <w:keepNext/>
      <w:spacing w:after="0" w:line="240" w:lineRule="auto"/>
      <w:jc w:val="both"/>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2C17B2"/>
    <w:pPr>
      <w:keepNext/>
      <w:spacing w:after="0" w:line="240" w:lineRule="auto"/>
      <w:jc w:val="center"/>
      <w:outlineLvl w:val="1"/>
    </w:pPr>
    <w:rPr>
      <w:rFonts w:ascii="Bernard MT Condensed" w:eastAsia="Times New Roman" w:hAnsi="Bernard MT Condensed" w:cs="Times New Roman"/>
      <w:b/>
      <w:sz w:val="80"/>
      <w:szCs w:val="24"/>
    </w:rPr>
  </w:style>
  <w:style w:type="paragraph" w:styleId="Heading3">
    <w:name w:val="heading 3"/>
    <w:basedOn w:val="Normal"/>
    <w:next w:val="Normal"/>
    <w:link w:val="Heading3Char"/>
    <w:qFormat/>
    <w:rsid w:val="002C17B2"/>
    <w:pPr>
      <w:keepNext/>
      <w:spacing w:before="240" w:after="60" w:line="240" w:lineRule="auto"/>
      <w:outlineLvl w:val="2"/>
    </w:pPr>
    <w:rPr>
      <w:rFonts w:ascii="Arial" w:eastAsia="Times New Roman" w:hAnsi="Arial" w:cs="Arial"/>
      <w:b/>
      <w:bCs/>
      <w:sz w:val="26"/>
      <w:szCs w:val="26"/>
      <w:lang w:val="en-GB"/>
    </w:rPr>
  </w:style>
  <w:style w:type="paragraph" w:styleId="Heading4">
    <w:name w:val="heading 4"/>
    <w:basedOn w:val="Normal"/>
    <w:next w:val="Normal"/>
    <w:link w:val="Heading4Char"/>
    <w:qFormat/>
    <w:rsid w:val="002C17B2"/>
    <w:pPr>
      <w:keepNext/>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2C17B2"/>
    <w:p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2C17B2"/>
    <w:p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2C17B2"/>
    <w:pPr>
      <w:keepNext/>
      <w:spacing w:after="0" w:line="240" w:lineRule="auto"/>
      <w:jc w:val="both"/>
      <w:outlineLvl w:val="6"/>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17B2"/>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2C17B2"/>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2C17B2"/>
    <w:rPr>
      <w:rFonts w:ascii="Bernard MT Condensed" w:eastAsia="Times New Roman" w:hAnsi="Bernard MT Condensed" w:cs="Times New Roman"/>
      <w:b/>
      <w:sz w:val="80"/>
      <w:szCs w:val="24"/>
    </w:rPr>
  </w:style>
  <w:style w:type="character" w:customStyle="1" w:styleId="Heading3Char">
    <w:name w:val="Heading 3 Char"/>
    <w:basedOn w:val="DefaultParagraphFont"/>
    <w:link w:val="Heading3"/>
    <w:rsid w:val="002C17B2"/>
    <w:rPr>
      <w:rFonts w:ascii="Arial" w:eastAsia="Times New Roman" w:hAnsi="Arial" w:cs="Arial"/>
      <w:b/>
      <w:bCs/>
      <w:sz w:val="26"/>
      <w:szCs w:val="26"/>
      <w:lang w:val="en-GB"/>
    </w:rPr>
  </w:style>
  <w:style w:type="character" w:customStyle="1" w:styleId="Heading4Char">
    <w:name w:val="Heading 4 Char"/>
    <w:basedOn w:val="DefaultParagraphFont"/>
    <w:link w:val="Heading4"/>
    <w:rsid w:val="002C17B2"/>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2C17B2"/>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2C17B2"/>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2C17B2"/>
    <w:rPr>
      <w:rFonts w:ascii="Times New Roman" w:eastAsia="Times New Roman" w:hAnsi="Times New Roman" w:cs="Times New Roman"/>
      <w:b/>
      <w:bCs/>
      <w:szCs w:val="24"/>
    </w:rPr>
  </w:style>
  <w:style w:type="paragraph" w:styleId="ListParagraph">
    <w:name w:val="List Paragraph"/>
    <w:basedOn w:val="Normal"/>
    <w:uiPriority w:val="34"/>
    <w:qFormat/>
    <w:rsid w:val="002C17B2"/>
    <w:pPr>
      <w:ind w:left="720"/>
      <w:contextualSpacing/>
    </w:pPr>
    <w:rPr>
      <w:rFonts w:ascii="Calibri" w:eastAsia="Calibri" w:hAnsi="Calibri" w:cs="Times New Roman"/>
    </w:rPr>
  </w:style>
  <w:style w:type="paragraph" w:styleId="NormalWeb">
    <w:name w:val="Normal (Web)"/>
    <w:basedOn w:val="Normal"/>
    <w:uiPriority w:val="99"/>
    <w:rsid w:val="002C1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ssagebody">
    <w:name w:val="messagebody"/>
    <w:uiPriority w:val="99"/>
    <w:rsid w:val="002C17B2"/>
    <w:rPr>
      <w:rFonts w:cs="Times New Roman"/>
    </w:rPr>
  </w:style>
  <w:style w:type="character" w:styleId="Strong">
    <w:name w:val="Strong"/>
    <w:uiPriority w:val="22"/>
    <w:qFormat/>
    <w:rsid w:val="002C17B2"/>
    <w:rPr>
      <w:b/>
      <w:bCs/>
    </w:rPr>
  </w:style>
  <w:style w:type="character" w:styleId="Hyperlink">
    <w:name w:val="Hyperlink"/>
    <w:uiPriority w:val="99"/>
    <w:semiHidden/>
    <w:unhideWhenUsed/>
    <w:rsid w:val="002C17B2"/>
    <w:rPr>
      <w:color w:val="0000FF"/>
      <w:u w:val="single"/>
    </w:rPr>
  </w:style>
  <w:style w:type="character" w:customStyle="1" w:styleId="apple-converted-space">
    <w:name w:val="apple-converted-space"/>
    <w:basedOn w:val="DefaultParagraphFont"/>
    <w:rsid w:val="002C17B2"/>
  </w:style>
  <w:style w:type="character" w:customStyle="1" w:styleId="apple-style-span">
    <w:name w:val="apple-style-span"/>
    <w:basedOn w:val="DefaultParagraphFont"/>
    <w:rsid w:val="002C17B2"/>
  </w:style>
  <w:style w:type="paragraph" w:styleId="Header">
    <w:name w:val="header"/>
    <w:basedOn w:val="Normal"/>
    <w:link w:val="HeaderChar"/>
    <w:unhideWhenUsed/>
    <w:rsid w:val="002C17B2"/>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rsid w:val="002C17B2"/>
    <w:rPr>
      <w:rFonts w:ascii="Calibri" w:eastAsia="Calibri" w:hAnsi="Calibri" w:cs="Times New Roman"/>
    </w:rPr>
  </w:style>
  <w:style w:type="paragraph" w:styleId="Footer">
    <w:name w:val="footer"/>
    <w:basedOn w:val="Normal"/>
    <w:link w:val="FooterChar"/>
    <w:uiPriority w:val="99"/>
    <w:unhideWhenUsed/>
    <w:rsid w:val="002C17B2"/>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uiPriority w:val="99"/>
    <w:rsid w:val="002C17B2"/>
    <w:rPr>
      <w:rFonts w:ascii="Calibri" w:eastAsia="Calibri" w:hAnsi="Calibri" w:cs="Times New Roman"/>
    </w:rPr>
  </w:style>
  <w:style w:type="character" w:styleId="LineNumber">
    <w:name w:val="line number"/>
    <w:basedOn w:val="DefaultParagraphFont"/>
    <w:uiPriority w:val="99"/>
    <w:semiHidden/>
    <w:unhideWhenUsed/>
    <w:rsid w:val="002C17B2"/>
  </w:style>
  <w:style w:type="character" w:styleId="FollowedHyperlink">
    <w:name w:val="FollowedHyperlink"/>
    <w:uiPriority w:val="99"/>
    <w:semiHidden/>
    <w:unhideWhenUsed/>
    <w:rsid w:val="002C17B2"/>
    <w:rPr>
      <w:color w:val="800080"/>
      <w:u w:val="single"/>
    </w:rPr>
  </w:style>
  <w:style w:type="paragraph" w:customStyle="1" w:styleId="xl108">
    <w:name w:val="xl108"/>
    <w:basedOn w:val="Normal"/>
    <w:rsid w:val="002C17B2"/>
    <w:pPr>
      <w:spacing w:before="100" w:beforeAutospacing="1" w:after="100" w:afterAutospacing="1" w:line="240" w:lineRule="auto"/>
    </w:pPr>
    <w:rPr>
      <w:rFonts w:ascii="Arial Narrow" w:eastAsia="Times New Roman" w:hAnsi="Arial Narrow" w:cs="Times New Roman"/>
      <w:sz w:val="20"/>
      <w:szCs w:val="20"/>
    </w:rPr>
  </w:style>
  <w:style w:type="paragraph" w:customStyle="1" w:styleId="xl109">
    <w:name w:val="xl109"/>
    <w:basedOn w:val="Normal"/>
    <w:rsid w:val="002C17B2"/>
    <w:pPr>
      <w:spacing w:before="100" w:beforeAutospacing="1" w:after="100" w:afterAutospacing="1" w:line="240" w:lineRule="auto"/>
    </w:pPr>
    <w:rPr>
      <w:rFonts w:ascii="Arial Narrow" w:eastAsia="Times New Roman" w:hAnsi="Arial Narrow" w:cs="Times New Roman"/>
      <w:sz w:val="24"/>
      <w:szCs w:val="24"/>
    </w:rPr>
  </w:style>
  <w:style w:type="paragraph" w:customStyle="1" w:styleId="xl110">
    <w:name w:val="xl110"/>
    <w:basedOn w:val="Normal"/>
    <w:rsid w:val="002C17B2"/>
    <w:pP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111">
    <w:name w:val="xl111"/>
    <w:basedOn w:val="Normal"/>
    <w:rsid w:val="002C17B2"/>
    <w:pP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112">
    <w:name w:val="xl112"/>
    <w:basedOn w:val="Normal"/>
    <w:rsid w:val="002C17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13">
    <w:name w:val="xl113"/>
    <w:basedOn w:val="Normal"/>
    <w:rsid w:val="002C17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rPr>
  </w:style>
  <w:style w:type="paragraph" w:customStyle="1" w:styleId="xl114">
    <w:name w:val="xl114"/>
    <w:basedOn w:val="Normal"/>
    <w:rsid w:val="002C17B2"/>
    <w:pP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15">
    <w:name w:val="xl115"/>
    <w:basedOn w:val="Normal"/>
    <w:rsid w:val="002C17B2"/>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16">
    <w:name w:val="xl116"/>
    <w:basedOn w:val="Normal"/>
    <w:rsid w:val="002C17B2"/>
    <w:pP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117">
    <w:name w:val="xl117"/>
    <w:basedOn w:val="Normal"/>
    <w:rsid w:val="002C17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6"/>
      <w:szCs w:val="16"/>
    </w:rPr>
  </w:style>
  <w:style w:type="paragraph" w:customStyle="1" w:styleId="xl118">
    <w:name w:val="xl118"/>
    <w:basedOn w:val="Normal"/>
    <w:rsid w:val="002C17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19">
    <w:name w:val="xl119"/>
    <w:basedOn w:val="Normal"/>
    <w:rsid w:val="002C17B2"/>
    <w:pPr>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20">
    <w:name w:val="xl120"/>
    <w:basedOn w:val="Normal"/>
    <w:rsid w:val="002C17B2"/>
    <w:pPr>
      <w:spacing w:before="100" w:beforeAutospacing="1" w:after="100" w:afterAutospacing="1" w:line="240" w:lineRule="auto"/>
    </w:pPr>
    <w:rPr>
      <w:rFonts w:ascii="Arial Narrow" w:eastAsia="Times New Roman" w:hAnsi="Arial Narrow" w:cs="Times New Roman"/>
      <w:sz w:val="16"/>
      <w:szCs w:val="16"/>
    </w:rPr>
  </w:style>
  <w:style w:type="paragraph" w:customStyle="1" w:styleId="xl121">
    <w:name w:val="xl121"/>
    <w:basedOn w:val="Normal"/>
    <w:rsid w:val="002C17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sz w:val="16"/>
      <w:szCs w:val="16"/>
    </w:rPr>
  </w:style>
  <w:style w:type="paragraph" w:customStyle="1" w:styleId="xl122">
    <w:name w:val="xl122"/>
    <w:basedOn w:val="Normal"/>
    <w:rsid w:val="002C17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2"/>
      <w:szCs w:val="12"/>
    </w:rPr>
  </w:style>
  <w:style w:type="paragraph" w:customStyle="1" w:styleId="xl123">
    <w:name w:val="xl123"/>
    <w:basedOn w:val="Normal"/>
    <w:rsid w:val="002C17B2"/>
    <w:pPr>
      <w:spacing w:before="100" w:beforeAutospacing="1" w:after="100" w:afterAutospacing="1" w:line="240" w:lineRule="auto"/>
    </w:pPr>
    <w:rPr>
      <w:rFonts w:ascii="Times New Roman" w:eastAsia="Times New Roman" w:hAnsi="Times New Roman" w:cs="Times New Roman"/>
      <w:b/>
      <w:bCs/>
      <w:sz w:val="16"/>
      <w:szCs w:val="16"/>
    </w:rPr>
  </w:style>
  <w:style w:type="paragraph" w:styleId="BalloonText">
    <w:name w:val="Balloon Text"/>
    <w:basedOn w:val="Normal"/>
    <w:link w:val="BalloonTextChar"/>
    <w:unhideWhenUsed/>
    <w:rsid w:val="002C17B2"/>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rsid w:val="002C17B2"/>
    <w:rPr>
      <w:rFonts w:ascii="Tahoma" w:eastAsia="Calibri" w:hAnsi="Tahoma" w:cs="Tahoma"/>
      <w:sz w:val="16"/>
      <w:szCs w:val="16"/>
    </w:rPr>
  </w:style>
  <w:style w:type="table" w:styleId="TableGrid">
    <w:name w:val="Table Grid"/>
    <w:basedOn w:val="TableNormal"/>
    <w:rsid w:val="002C17B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C17B2"/>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C17B2"/>
    <w:rPr>
      <w:rFonts w:ascii="Times New Roman" w:eastAsia="Times New Roman" w:hAnsi="Times New Roman" w:cs="Times New Roman"/>
      <w:sz w:val="24"/>
      <w:szCs w:val="24"/>
    </w:rPr>
  </w:style>
  <w:style w:type="paragraph" w:styleId="BodyTextIndent">
    <w:name w:val="Body Text Indent"/>
    <w:basedOn w:val="Normal"/>
    <w:link w:val="BodyTextIndentChar"/>
    <w:rsid w:val="002C17B2"/>
    <w:pPr>
      <w:spacing w:after="120" w:line="240" w:lineRule="auto"/>
      <w:ind w:left="360"/>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2C17B2"/>
    <w:rPr>
      <w:rFonts w:ascii="Times New Roman" w:eastAsia="Times New Roman" w:hAnsi="Times New Roman" w:cs="Times New Roman"/>
      <w:sz w:val="24"/>
      <w:szCs w:val="24"/>
      <w:lang w:val="en-GB"/>
    </w:rPr>
  </w:style>
  <w:style w:type="paragraph" w:styleId="BodyTextIndent2">
    <w:name w:val="Body Text Indent 2"/>
    <w:basedOn w:val="Normal"/>
    <w:link w:val="BodyTextIndent2Char"/>
    <w:rsid w:val="002C17B2"/>
    <w:pPr>
      <w:spacing w:after="120" w:line="480" w:lineRule="auto"/>
      <w:ind w:left="360"/>
    </w:pPr>
    <w:rPr>
      <w:rFonts w:ascii="Times New Roman" w:eastAsia="Times New Roman" w:hAnsi="Times New Roman" w:cs="Times New Roman"/>
      <w:sz w:val="24"/>
      <w:szCs w:val="24"/>
      <w:lang w:val="en-GB"/>
    </w:rPr>
  </w:style>
  <w:style w:type="character" w:customStyle="1" w:styleId="BodyTextIndent2Char">
    <w:name w:val="Body Text Indent 2 Char"/>
    <w:basedOn w:val="DefaultParagraphFont"/>
    <w:link w:val="BodyTextIndent2"/>
    <w:rsid w:val="002C17B2"/>
    <w:rPr>
      <w:rFonts w:ascii="Times New Roman" w:eastAsia="Times New Roman" w:hAnsi="Times New Roman" w:cs="Times New Roman"/>
      <w:sz w:val="24"/>
      <w:szCs w:val="24"/>
      <w:lang w:val="en-GB"/>
    </w:rPr>
  </w:style>
  <w:style w:type="paragraph" w:styleId="Caption">
    <w:name w:val="caption"/>
    <w:basedOn w:val="Normal"/>
    <w:next w:val="Normal"/>
    <w:qFormat/>
    <w:rsid w:val="002C17B2"/>
    <w:pPr>
      <w:spacing w:after="0" w:line="480" w:lineRule="auto"/>
      <w:ind w:left="720"/>
      <w:jc w:val="both"/>
    </w:pPr>
    <w:rPr>
      <w:rFonts w:ascii="Arial" w:eastAsia="Times New Roman" w:hAnsi="Arial" w:cs="Arial"/>
      <w:i/>
      <w:iCs/>
      <w:sz w:val="16"/>
      <w:szCs w:val="24"/>
    </w:rPr>
  </w:style>
  <w:style w:type="paragraph" w:customStyle="1" w:styleId="xl28">
    <w:name w:val="xl28"/>
    <w:basedOn w:val="Normal"/>
    <w:rsid w:val="002C17B2"/>
    <w:pPr>
      <w:pBdr>
        <w:left w:val="single" w:sz="4" w:space="0" w:color="auto"/>
        <w:bottom w:val="single" w:sz="4" w:space="0" w:color="auto"/>
        <w:right w:val="single" w:sz="4" w:space="0" w:color="auto"/>
      </w:pBdr>
      <w:spacing w:before="100" w:beforeAutospacing="1" w:after="100" w:afterAutospacing="1" w:line="240" w:lineRule="auto"/>
      <w:jc w:val="center"/>
    </w:pPr>
    <w:rPr>
      <w:rFonts w:ascii="Century Gothic" w:eastAsia="Times New Roman" w:hAnsi="Century Gothic" w:cs="Times New Roman"/>
      <w:sz w:val="18"/>
      <w:szCs w:val="18"/>
    </w:rPr>
  </w:style>
  <w:style w:type="paragraph" w:styleId="BodyText2">
    <w:name w:val="Body Text 2"/>
    <w:basedOn w:val="Normal"/>
    <w:link w:val="BodyText2Char"/>
    <w:rsid w:val="002C17B2"/>
    <w:pPr>
      <w:spacing w:after="0" w:line="240" w:lineRule="auto"/>
      <w:jc w:val="both"/>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2C17B2"/>
    <w:rPr>
      <w:rFonts w:ascii="Times New Roman" w:eastAsia="Times New Roman" w:hAnsi="Times New Roman" w:cs="Times New Roman"/>
      <w:sz w:val="20"/>
      <w:szCs w:val="20"/>
    </w:rPr>
  </w:style>
  <w:style w:type="character" w:styleId="PageNumber">
    <w:name w:val="page number"/>
    <w:rsid w:val="002C17B2"/>
  </w:style>
  <w:style w:type="paragraph" w:styleId="BodyText3">
    <w:name w:val="Body Text 3"/>
    <w:basedOn w:val="Normal"/>
    <w:link w:val="BodyText3Char"/>
    <w:rsid w:val="002C17B2"/>
    <w:pPr>
      <w:spacing w:after="0" w:line="240" w:lineRule="auto"/>
      <w:jc w:val="center"/>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rsid w:val="002C17B2"/>
    <w:rPr>
      <w:rFonts w:ascii="Times New Roman" w:eastAsia="Times New Roman" w:hAnsi="Times New Roman" w:cs="Times New Roman"/>
      <w:sz w:val="24"/>
      <w:szCs w:val="24"/>
    </w:rPr>
  </w:style>
  <w:style w:type="paragraph" w:styleId="BodyTextIndent3">
    <w:name w:val="Body Text Indent 3"/>
    <w:basedOn w:val="Normal"/>
    <w:link w:val="BodyTextIndent3Char"/>
    <w:rsid w:val="002C17B2"/>
    <w:pPr>
      <w:spacing w:after="0" w:line="240" w:lineRule="auto"/>
      <w:ind w:left="1440" w:firstLine="36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2C17B2"/>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2C17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5">
    <w:name w:val="Medium Shading 1 Accent 5"/>
    <w:basedOn w:val="TableNormal"/>
    <w:uiPriority w:val="63"/>
    <w:rsid w:val="002C17B2"/>
    <w:pPr>
      <w:spacing w:after="0" w:line="240" w:lineRule="auto"/>
    </w:pPr>
    <w:rPr>
      <w:rFonts w:ascii="Calibri" w:eastAsia="Calibri" w:hAnsi="Calibri"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Grid2-Accent5">
    <w:name w:val="Medium Grid 2 Accent 5"/>
    <w:basedOn w:val="TableNormal"/>
    <w:uiPriority w:val="68"/>
    <w:rsid w:val="002C17B2"/>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3-Accent1">
    <w:name w:val="Medium Grid 3 Accent 1"/>
    <w:basedOn w:val="TableNormal"/>
    <w:uiPriority w:val="69"/>
    <w:rsid w:val="002C17B2"/>
    <w:pPr>
      <w:spacing w:after="0" w:line="240" w:lineRule="auto"/>
    </w:pPr>
    <w:rPr>
      <w:rFonts w:ascii="Calibri" w:eastAsia="Calibri"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Shading2-Accent1">
    <w:name w:val="Medium Shading 2 Accent 1"/>
    <w:basedOn w:val="TableNormal"/>
    <w:uiPriority w:val="64"/>
    <w:rsid w:val="002C17B2"/>
    <w:pPr>
      <w:spacing w:after="0" w:line="240" w:lineRule="auto"/>
    </w:pPr>
    <w:rPr>
      <w:rFonts w:ascii="Calibri" w:eastAsia="Calibri"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xl63">
    <w:name w:val="xl63"/>
    <w:basedOn w:val="Normal"/>
    <w:rsid w:val="002C17B2"/>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4">
    <w:name w:val="xl64"/>
    <w:basedOn w:val="Normal"/>
    <w:rsid w:val="002C17B2"/>
    <w:pP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65">
    <w:name w:val="xl65"/>
    <w:basedOn w:val="Normal"/>
    <w:rsid w:val="002C17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6">
    <w:name w:val="xl66"/>
    <w:basedOn w:val="Normal"/>
    <w:rsid w:val="002C17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7">
    <w:name w:val="xl67"/>
    <w:basedOn w:val="Normal"/>
    <w:rsid w:val="002C17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68">
    <w:name w:val="xl68"/>
    <w:basedOn w:val="Normal"/>
    <w:rsid w:val="002C17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69">
    <w:name w:val="xl69"/>
    <w:basedOn w:val="Normal"/>
    <w:rsid w:val="002C17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70">
    <w:name w:val="xl70"/>
    <w:basedOn w:val="Normal"/>
    <w:rsid w:val="002C17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71">
    <w:name w:val="xl71"/>
    <w:basedOn w:val="Normal"/>
    <w:rsid w:val="002C17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6"/>
      <w:szCs w:val="16"/>
    </w:rPr>
  </w:style>
  <w:style w:type="paragraph" w:customStyle="1" w:styleId="xl72">
    <w:name w:val="xl72"/>
    <w:basedOn w:val="Normal"/>
    <w:rsid w:val="002C17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73">
    <w:name w:val="xl73"/>
    <w:basedOn w:val="Normal"/>
    <w:rsid w:val="002C17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4">
    <w:name w:val="xl74"/>
    <w:basedOn w:val="Normal"/>
    <w:rsid w:val="002C17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rPr>
  </w:style>
  <w:style w:type="paragraph" w:customStyle="1" w:styleId="xl75">
    <w:name w:val="xl75"/>
    <w:basedOn w:val="Normal"/>
    <w:rsid w:val="002C17B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76">
    <w:name w:val="xl76"/>
    <w:basedOn w:val="Normal"/>
    <w:rsid w:val="002C17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77">
    <w:name w:val="xl77"/>
    <w:basedOn w:val="Normal"/>
    <w:rsid w:val="002C17B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8">
    <w:name w:val="xl78"/>
    <w:basedOn w:val="Normal"/>
    <w:rsid w:val="002C17B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9">
    <w:name w:val="xl79"/>
    <w:basedOn w:val="Normal"/>
    <w:rsid w:val="002C17B2"/>
    <w:pPr>
      <w:spacing w:before="100" w:beforeAutospacing="1" w:after="100" w:afterAutospacing="1" w:line="240" w:lineRule="auto"/>
      <w:jc w:val="center"/>
    </w:pPr>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45088">
      <w:bodyDiv w:val="1"/>
      <w:marLeft w:val="0"/>
      <w:marRight w:val="0"/>
      <w:marTop w:val="0"/>
      <w:marBottom w:val="0"/>
      <w:divBdr>
        <w:top w:val="none" w:sz="0" w:space="0" w:color="auto"/>
        <w:left w:val="none" w:sz="0" w:space="0" w:color="auto"/>
        <w:bottom w:val="none" w:sz="0" w:space="0" w:color="auto"/>
        <w:right w:val="none" w:sz="0" w:space="0" w:color="auto"/>
      </w:divBdr>
    </w:div>
    <w:div w:id="108547498">
      <w:bodyDiv w:val="1"/>
      <w:marLeft w:val="0"/>
      <w:marRight w:val="0"/>
      <w:marTop w:val="0"/>
      <w:marBottom w:val="0"/>
      <w:divBdr>
        <w:top w:val="none" w:sz="0" w:space="0" w:color="auto"/>
        <w:left w:val="none" w:sz="0" w:space="0" w:color="auto"/>
        <w:bottom w:val="none" w:sz="0" w:space="0" w:color="auto"/>
        <w:right w:val="none" w:sz="0" w:space="0" w:color="auto"/>
      </w:divBdr>
    </w:div>
    <w:div w:id="545482817">
      <w:bodyDiv w:val="1"/>
      <w:marLeft w:val="0"/>
      <w:marRight w:val="0"/>
      <w:marTop w:val="0"/>
      <w:marBottom w:val="0"/>
      <w:divBdr>
        <w:top w:val="none" w:sz="0" w:space="0" w:color="auto"/>
        <w:left w:val="none" w:sz="0" w:space="0" w:color="auto"/>
        <w:bottom w:val="none" w:sz="0" w:space="0" w:color="auto"/>
        <w:right w:val="none" w:sz="0" w:space="0" w:color="auto"/>
      </w:divBdr>
    </w:div>
    <w:div w:id="679889202">
      <w:bodyDiv w:val="1"/>
      <w:marLeft w:val="0"/>
      <w:marRight w:val="0"/>
      <w:marTop w:val="0"/>
      <w:marBottom w:val="0"/>
      <w:divBdr>
        <w:top w:val="none" w:sz="0" w:space="0" w:color="auto"/>
        <w:left w:val="none" w:sz="0" w:space="0" w:color="auto"/>
        <w:bottom w:val="none" w:sz="0" w:space="0" w:color="auto"/>
        <w:right w:val="none" w:sz="0" w:space="0" w:color="auto"/>
      </w:divBdr>
    </w:div>
    <w:div w:id="880483955">
      <w:bodyDiv w:val="1"/>
      <w:marLeft w:val="0"/>
      <w:marRight w:val="0"/>
      <w:marTop w:val="0"/>
      <w:marBottom w:val="0"/>
      <w:divBdr>
        <w:top w:val="none" w:sz="0" w:space="0" w:color="auto"/>
        <w:left w:val="none" w:sz="0" w:space="0" w:color="auto"/>
        <w:bottom w:val="none" w:sz="0" w:space="0" w:color="auto"/>
        <w:right w:val="none" w:sz="0" w:space="0" w:color="auto"/>
      </w:divBdr>
    </w:div>
    <w:div w:id="977224409">
      <w:bodyDiv w:val="1"/>
      <w:marLeft w:val="0"/>
      <w:marRight w:val="0"/>
      <w:marTop w:val="0"/>
      <w:marBottom w:val="0"/>
      <w:divBdr>
        <w:top w:val="none" w:sz="0" w:space="0" w:color="auto"/>
        <w:left w:val="none" w:sz="0" w:space="0" w:color="auto"/>
        <w:bottom w:val="none" w:sz="0" w:space="0" w:color="auto"/>
        <w:right w:val="none" w:sz="0" w:space="0" w:color="auto"/>
      </w:divBdr>
    </w:div>
    <w:div w:id="1176265982">
      <w:bodyDiv w:val="1"/>
      <w:marLeft w:val="0"/>
      <w:marRight w:val="0"/>
      <w:marTop w:val="0"/>
      <w:marBottom w:val="0"/>
      <w:divBdr>
        <w:top w:val="none" w:sz="0" w:space="0" w:color="auto"/>
        <w:left w:val="none" w:sz="0" w:space="0" w:color="auto"/>
        <w:bottom w:val="none" w:sz="0" w:space="0" w:color="auto"/>
        <w:right w:val="none" w:sz="0" w:space="0" w:color="auto"/>
      </w:divBdr>
    </w:div>
    <w:div w:id="1639652951">
      <w:bodyDiv w:val="1"/>
      <w:marLeft w:val="0"/>
      <w:marRight w:val="0"/>
      <w:marTop w:val="0"/>
      <w:marBottom w:val="0"/>
      <w:divBdr>
        <w:top w:val="none" w:sz="0" w:space="0" w:color="auto"/>
        <w:left w:val="none" w:sz="0" w:space="0" w:color="auto"/>
        <w:bottom w:val="none" w:sz="0" w:space="0" w:color="auto"/>
        <w:right w:val="none" w:sz="0" w:space="0" w:color="auto"/>
      </w:divBdr>
    </w:div>
    <w:div w:id="1710060082">
      <w:bodyDiv w:val="1"/>
      <w:marLeft w:val="0"/>
      <w:marRight w:val="0"/>
      <w:marTop w:val="0"/>
      <w:marBottom w:val="0"/>
      <w:divBdr>
        <w:top w:val="none" w:sz="0" w:space="0" w:color="auto"/>
        <w:left w:val="none" w:sz="0" w:space="0" w:color="auto"/>
        <w:bottom w:val="none" w:sz="0" w:space="0" w:color="auto"/>
        <w:right w:val="none" w:sz="0" w:space="0" w:color="auto"/>
      </w:divBdr>
    </w:div>
    <w:div w:id="1870489379">
      <w:bodyDiv w:val="1"/>
      <w:marLeft w:val="0"/>
      <w:marRight w:val="0"/>
      <w:marTop w:val="0"/>
      <w:marBottom w:val="0"/>
      <w:divBdr>
        <w:top w:val="none" w:sz="0" w:space="0" w:color="auto"/>
        <w:left w:val="none" w:sz="0" w:space="0" w:color="auto"/>
        <w:bottom w:val="none" w:sz="0" w:space="0" w:color="auto"/>
        <w:right w:val="none" w:sz="0" w:space="0" w:color="auto"/>
      </w:divBdr>
    </w:div>
    <w:div w:id="1888488595">
      <w:bodyDiv w:val="1"/>
      <w:marLeft w:val="0"/>
      <w:marRight w:val="0"/>
      <w:marTop w:val="0"/>
      <w:marBottom w:val="0"/>
      <w:divBdr>
        <w:top w:val="none" w:sz="0" w:space="0" w:color="auto"/>
        <w:left w:val="none" w:sz="0" w:space="0" w:color="auto"/>
        <w:bottom w:val="none" w:sz="0" w:space="0" w:color="auto"/>
        <w:right w:val="none" w:sz="0" w:space="0" w:color="auto"/>
      </w:divBdr>
    </w:div>
    <w:div w:id="1919510308">
      <w:bodyDiv w:val="1"/>
      <w:marLeft w:val="0"/>
      <w:marRight w:val="0"/>
      <w:marTop w:val="0"/>
      <w:marBottom w:val="0"/>
      <w:divBdr>
        <w:top w:val="none" w:sz="0" w:space="0" w:color="auto"/>
        <w:left w:val="none" w:sz="0" w:space="0" w:color="auto"/>
        <w:bottom w:val="none" w:sz="0" w:space="0" w:color="auto"/>
        <w:right w:val="none" w:sz="0" w:space="0" w:color="auto"/>
      </w:divBdr>
    </w:div>
    <w:div w:id="2085369917">
      <w:bodyDiv w:val="1"/>
      <w:marLeft w:val="0"/>
      <w:marRight w:val="0"/>
      <w:marTop w:val="0"/>
      <w:marBottom w:val="0"/>
      <w:divBdr>
        <w:top w:val="none" w:sz="0" w:space="0" w:color="auto"/>
        <w:left w:val="none" w:sz="0" w:space="0" w:color="auto"/>
        <w:bottom w:val="none" w:sz="0" w:space="0" w:color="auto"/>
        <w:right w:val="none" w:sz="0" w:space="0" w:color="auto"/>
      </w:divBdr>
    </w:div>
    <w:div w:id="212731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5626</Words>
  <Characters>32071</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TESDA</dc:creator>
  <cp:lastModifiedBy>lenovo</cp:lastModifiedBy>
  <cp:revision>2</cp:revision>
  <cp:lastPrinted>2017-12-13T08:00:00Z</cp:lastPrinted>
  <dcterms:created xsi:type="dcterms:W3CDTF">2017-12-29T08:21:00Z</dcterms:created>
  <dcterms:modified xsi:type="dcterms:W3CDTF">2017-12-29T08:21:00Z</dcterms:modified>
</cp:coreProperties>
</file>